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8A2" w:rsidRPr="00B71532" w:rsidRDefault="007778A2" w:rsidP="00830F97">
      <w:pPr>
        <w:spacing w:line="276" w:lineRule="auto"/>
        <w:jc w:val="both"/>
        <w:rPr>
          <w:rFonts w:ascii="Arial" w:hAnsi="Arial" w:cs="Arial"/>
          <w:b/>
          <w:sz w:val="24"/>
          <w:szCs w:val="24"/>
        </w:rPr>
      </w:pPr>
      <w:bookmarkStart w:id="0" w:name="_GoBack"/>
      <w:bookmarkEnd w:id="0"/>
    </w:p>
    <w:p w:rsidR="00EB66A5" w:rsidRPr="00B71532" w:rsidRDefault="00EB66A5" w:rsidP="00830F97">
      <w:pPr>
        <w:pStyle w:val="Prrafodelista"/>
        <w:numPr>
          <w:ilvl w:val="0"/>
          <w:numId w:val="1"/>
        </w:numPr>
        <w:spacing w:line="276" w:lineRule="auto"/>
        <w:jc w:val="both"/>
        <w:rPr>
          <w:rFonts w:ascii="Arial" w:hAnsi="Arial" w:cs="Arial"/>
          <w:b/>
          <w:sz w:val="24"/>
          <w:szCs w:val="24"/>
        </w:rPr>
      </w:pPr>
      <w:r w:rsidRPr="00B71532">
        <w:rPr>
          <w:rFonts w:ascii="Arial" w:hAnsi="Arial" w:cs="Arial"/>
          <w:b/>
          <w:sz w:val="24"/>
          <w:szCs w:val="24"/>
        </w:rPr>
        <w:t>En cuanto al procedimiento de contratación pública.</w:t>
      </w:r>
    </w:p>
    <w:p w:rsidR="00EB66A5" w:rsidRPr="00B71532" w:rsidRDefault="00EB66A5" w:rsidP="00830F97">
      <w:pPr>
        <w:pStyle w:val="Prrafodelista"/>
        <w:spacing w:line="276" w:lineRule="auto"/>
        <w:jc w:val="both"/>
        <w:rPr>
          <w:rFonts w:ascii="Arial" w:hAnsi="Arial" w:cs="Arial"/>
          <w:sz w:val="24"/>
          <w:szCs w:val="24"/>
        </w:rPr>
      </w:pPr>
    </w:p>
    <w:p w:rsidR="00D356FE" w:rsidRPr="00B71532" w:rsidRDefault="00EB66A5" w:rsidP="007F1F20">
      <w:pPr>
        <w:pStyle w:val="Prrafodelista"/>
        <w:numPr>
          <w:ilvl w:val="1"/>
          <w:numId w:val="1"/>
        </w:numPr>
        <w:spacing w:line="276" w:lineRule="auto"/>
        <w:jc w:val="both"/>
        <w:rPr>
          <w:rFonts w:ascii="Arial" w:hAnsi="Arial" w:cs="Arial"/>
          <w:b/>
          <w:sz w:val="24"/>
          <w:szCs w:val="24"/>
        </w:rPr>
      </w:pPr>
      <w:r w:rsidRPr="00B71532">
        <w:rPr>
          <w:rFonts w:ascii="Arial" w:hAnsi="Arial" w:cs="Arial"/>
          <w:b/>
          <w:sz w:val="24"/>
          <w:szCs w:val="24"/>
        </w:rPr>
        <w:t>Describe a detalle que observa en el caso (la teoría del caso) y las presuntas irregularidades que advierta dentro del procedimiento de contratación y prestación del servicio.</w:t>
      </w:r>
    </w:p>
    <w:p w:rsidR="00EB66A5" w:rsidRPr="00B71532" w:rsidRDefault="00EB66A5" w:rsidP="00830F97">
      <w:pPr>
        <w:pStyle w:val="Prrafodelista"/>
        <w:spacing w:line="276" w:lineRule="auto"/>
        <w:ind w:left="750"/>
        <w:jc w:val="both"/>
        <w:rPr>
          <w:rFonts w:ascii="Arial" w:hAnsi="Arial" w:cs="Arial"/>
          <w:sz w:val="24"/>
          <w:szCs w:val="24"/>
        </w:rPr>
      </w:pPr>
    </w:p>
    <w:p w:rsidR="00EB66A5" w:rsidRPr="00B71532" w:rsidRDefault="006F47D1" w:rsidP="00830F97">
      <w:pPr>
        <w:pStyle w:val="Prrafodelista"/>
        <w:spacing w:line="276" w:lineRule="auto"/>
        <w:ind w:left="750"/>
        <w:jc w:val="both"/>
        <w:rPr>
          <w:rFonts w:ascii="Arial" w:hAnsi="Arial" w:cs="Arial"/>
          <w:sz w:val="24"/>
          <w:szCs w:val="24"/>
        </w:rPr>
      </w:pPr>
      <w:r w:rsidRPr="00B71532">
        <w:rPr>
          <w:rFonts w:ascii="Arial" w:hAnsi="Arial" w:cs="Arial"/>
          <w:sz w:val="24"/>
          <w:szCs w:val="24"/>
        </w:rPr>
        <w:tab/>
      </w:r>
      <w:r w:rsidR="00EB66A5" w:rsidRPr="00B71532">
        <w:rPr>
          <w:rFonts w:ascii="Arial" w:hAnsi="Arial" w:cs="Arial"/>
          <w:sz w:val="24"/>
          <w:szCs w:val="24"/>
        </w:rPr>
        <w:t>Dentro del caso se puede analizar que en la existió una compra</w:t>
      </w:r>
      <w:r w:rsidR="00F66F4D" w:rsidRPr="00B71532">
        <w:rPr>
          <w:rFonts w:ascii="Arial" w:hAnsi="Arial" w:cs="Arial"/>
          <w:sz w:val="24"/>
          <w:szCs w:val="24"/>
        </w:rPr>
        <w:t xml:space="preserve">,  dicha compra por un monto total por $500,000.00 (quinientos mil pesos) eso sin contar el Impuesto por el Valor Agregado (IVA), el monto total de dicha actividad va con el fin de hacer una entrega de 10 (diez) nuevos equipos de cómputo, y por otro lado, reparar y dar el mantenimiento correspondiente a un total de 50 (cincuenta) </w:t>
      </w:r>
      <w:r w:rsidR="00FF67CB" w:rsidRPr="00B71532">
        <w:rPr>
          <w:rFonts w:ascii="Arial" w:hAnsi="Arial" w:cs="Arial"/>
          <w:sz w:val="24"/>
          <w:szCs w:val="24"/>
        </w:rPr>
        <w:t xml:space="preserve">equipos más. </w:t>
      </w:r>
    </w:p>
    <w:p w:rsidR="00DF3BD6" w:rsidRPr="00B71532" w:rsidRDefault="0028194A" w:rsidP="00830F97">
      <w:pPr>
        <w:pStyle w:val="Prrafodelista"/>
        <w:spacing w:line="276" w:lineRule="auto"/>
        <w:ind w:left="750"/>
        <w:jc w:val="both"/>
        <w:rPr>
          <w:rFonts w:ascii="Arial" w:hAnsi="Arial" w:cs="Arial"/>
          <w:sz w:val="24"/>
          <w:szCs w:val="24"/>
        </w:rPr>
      </w:pPr>
      <w:r w:rsidRPr="00B71532">
        <w:rPr>
          <w:rFonts w:ascii="Arial" w:hAnsi="Arial" w:cs="Arial"/>
          <w:sz w:val="24"/>
          <w:szCs w:val="24"/>
        </w:rPr>
        <w:t xml:space="preserve"> </w:t>
      </w:r>
    </w:p>
    <w:p w:rsidR="0028194A" w:rsidRPr="00B71532" w:rsidRDefault="0028194A" w:rsidP="00830F97">
      <w:pPr>
        <w:pStyle w:val="Prrafodelista"/>
        <w:spacing w:line="276" w:lineRule="auto"/>
        <w:ind w:left="750"/>
        <w:jc w:val="both"/>
        <w:rPr>
          <w:rFonts w:ascii="Arial" w:hAnsi="Arial" w:cs="Arial"/>
          <w:sz w:val="24"/>
          <w:szCs w:val="24"/>
        </w:rPr>
      </w:pPr>
      <w:r w:rsidRPr="00B71532">
        <w:rPr>
          <w:rFonts w:ascii="Arial" w:hAnsi="Arial" w:cs="Arial"/>
          <w:sz w:val="24"/>
          <w:szCs w:val="24"/>
        </w:rPr>
        <w:t xml:space="preserve"> De las cuales se presentaron estas irregularidades.</w:t>
      </w:r>
    </w:p>
    <w:p w:rsidR="0028194A" w:rsidRPr="00B71532" w:rsidRDefault="0028194A" w:rsidP="00830F97">
      <w:pPr>
        <w:pStyle w:val="Prrafodelista"/>
        <w:spacing w:line="276" w:lineRule="auto"/>
        <w:ind w:left="750"/>
        <w:jc w:val="both"/>
        <w:rPr>
          <w:rFonts w:ascii="Arial" w:hAnsi="Arial" w:cs="Arial"/>
          <w:sz w:val="24"/>
          <w:szCs w:val="24"/>
        </w:rPr>
      </w:pPr>
    </w:p>
    <w:p w:rsidR="0028194A" w:rsidRPr="00B71532" w:rsidRDefault="0028194A" w:rsidP="00830F97">
      <w:pPr>
        <w:pStyle w:val="Prrafodelista"/>
        <w:numPr>
          <w:ilvl w:val="0"/>
          <w:numId w:val="4"/>
        </w:numPr>
        <w:spacing w:line="276" w:lineRule="auto"/>
        <w:jc w:val="both"/>
        <w:rPr>
          <w:rFonts w:ascii="Arial" w:hAnsi="Arial" w:cs="Arial"/>
          <w:sz w:val="24"/>
          <w:szCs w:val="24"/>
        </w:rPr>
      </w:pPr>
      <w:r w:rsidRPr="00B71532">
        <w:rPr>
          <w:rFonts w:ascii="Arial" w:hAnsi="Arial" w:cs="Arial"/>
          <w:sz w:val="24"/>
          <w:szCs w:val="24"/>
        </w:rPr>
        <w:t>Al parecer no se acreditó la entrega de los equipos nuevos, los que se entregaron eran “reconstruidos”.</w:t>
      </w:r>
    </w:p>
    <w:p w:rsidR="0028194A" w:rsidRPr="00B71532" w:rsidRDefault="0028194A" w:rsidP="00830F97">
      <w:pPr>
        <w:pStyle w:val="Prrafodelista"/>
        <w:numPr>
          <w:ilvl w:val="0"/>
          <w:numId w:val="4"/>
        </w:numPr>
        <w:spacing w:line="276" w:lineRule="auto"/>
        <w:jc w:val="both"/>
        <w:rPr>
          <w:rFonts w:ascii="Arial" w:hAnsi="Arial" w:cs="Arial"/>
          <w:sz w:val="24"/>
          <w:szCs w:val="24"/>
        </w:rPr>
      </w:pPr>
      <w:r w:rsidRPr="00B71532">
        <w:rPr>
          <w:rFonts w:ascii="Arial" w:hAnsi="Arial" w:cs="Arial"/>
          <w:sz w:val="24"/>
          <w:szCs w:val="24"/>
        </w:rPr>
        <w:t>Durante el proceso de compra no existieron testigos sociales.</w:t>
      </w:r>
    </w:p>
    <w:p w:rsidR="0028194A" w:rsidRPr="00B71532" w:rsidRDefault="0028194A" w:rsidP="00830F97">
      <w:pPr>
        <w:pStyle w:val="Prrafodelista"/>
        <w:numPr>
          <w:ilvl w:val="0"/>
          <w:numId w:val="4"/>
        </w:numPr>
        <w:spacing w:line="276" w:lineRule="auto"/>
        <w:jc w:val="both"/>
        <w:rPr>
          <w:rFonts w:ascii="Arial" w:hAnsi="Arial" w:cs="Arial"/>
          <w:sz w:val="24"/>
          <w:szCs w:val="24"/>
        </w:rPr>
      </w:pPr>
      <w:r w:rsidRPr="00B71532">
        <w:rPr>
          <w:rFonts w:ascii="Arial" w:hAnsi="Arial" w:cs="Arial"/>
          <w:sz w:val="24"/>
          <w:szCs w:val="24"/>
        </w:rPr>
        <w:t>El precio promedio en 2021 del equipo de cómputo es 20% mayor que el del mercado.</w:t>
      </w:r>
    </w:p>
    <w:p w:rsidR="0028194A" w:rsidRPr="00B71532" w:rsidRDefault="0028194A" w:rsidP="00830F97">
      <w:pPr>
        <w:pStyle w:val="Prrafodelista"/>
        <w:numPr>
          <w:ilvl w:val="0"/>
          <w:numId w:val="4"/>
        </w:numPr>
        <w:spacing w:line="276" w:lineRule="auto"/>
        <w:jc w:val="both"/>
        <w:rPr>
          <w:rFonts w:ascii="Arial" w:hAnsi="Arial" w:cs="Arial"/>
          <w:sz w:val="24"/>
          <w:szCs w:val="24"/>
        </w:rPr>
      </w:pPr>
      <w:r w:rsidRPr="00B71532">
        <w:rPr>
          <w:rFonts w:ascii="Arial" w:hAnsi="Arial" w:cs="Arial"/>
          <w:sz w:val="24"/>
          <w:szCs w:val="24"/>
        </w:rPr>
        <w:t>No se solicitó fianza a la empresa proveedora.</w:t>
      </w:r>
    </w:p>
    <w:p w:rsidR="006F47D1" w:rsidRPr="00B71532" w:rsidRDefault="0028194A" w:rsidP="00830F97">
      <w:pPr>
        <w:pStyle w:val="Prrafodelista"/>
        <w:numPr>
          <w:ilvl w:val="0"/>
          <w:numId w:val="4"/>
        </w:numPr>
        <w:spacing w:line="276" w:lineRule="auto"/>
        <w:jc w:val="both"/>
        <w:rPr>
          <w:rFonts w:ascii="Arial" w:hAnsi="Arial" w:cs="Arial"/>
          <w:sz w:val="24"/>
          <w:szCs w:val="24"/>
        </w:rPr>
      </w:pPr>
      <w:r w:rsidRPr="00B71532">
        <w:rPr>
          <w:rFonts w:ascii="Arial" w:hAnsi="Arial" w:cs="Arial"/>
          <w:sz w:val="24"/>
          <w:szCs w:val="24"/>
        </w:rPr>
        <w:t>La empresa ganadora no estaba registrada en el padrón de proveedores.</w:t>
      </w:r>
    </w:p>
    <w:p w:rsidR="0028194A" w:rsidRPr="00B71532" w:rsidRDefault="0028194A" w:rsidP="00830F97">
      <w:pPr>
        <w:pStyle w:val="Prrafodelista"/>
        <w:spacing w:line="276" w:lineRule="auto"/>
        <w:ind w:left="750" w:firstLine="666"/>
        <w:jc w:val="both"/>
        <w:rPr>
          <w:rFonts w:ascii="Arial" w:hAnsi="Arial" w:cs="Arial"/>
          <w:sz w:val="24"/>
          <w:szCs w:val="24"/>
        </w:rPr>
      </w:pPr>
    </w:p>
    <w:p w:rsidR="0028194A" w:rsidRPr="00B71532" w:rsidRDefault="0028194A" w:rsidP="00830F97">
      <w:pPr>
        <w:pStyle w:val="Prrafodelista"/>
        <w:numPr>
          <w:ilvl w:val="0"/>
          <w:numId w:val="1"/>
        </w:numPr>
        <w:spacing w:line="276" w:lineRule="auto"/>
        <w:jc w:val="both"/>
        <w:rPr>
          <w:rFonts w:ascii="Arial" w:hAnsi="Arial" w:cs="Arial"/>
          <w:b/>
          <w:sz w:val="24"/>
          <w:szCs w:val="24"/>
        </w:rPr>
      </w:pPr>
      <w:r w:rsidRPr="00B71532">
        <w:rPr>
          <w:rFonts w:ascii="Arial" w:hAnsi="Arial" w:cs="Arial"/>
          <w:b/>
          <w:sz w:val="24"/>
          <w:szCs w:val="24"/>
        </w:rPr>
        <w:t>Respecto de la investigación, substanciación y resolución de los procedimientos de responsabilidad administrativa.</w:t>
      </w:r>
    </w:p>
    <w:p w:rsidR="0028194A" w:rsidRPr="00B71532" w:rsidRDefault="0028194A" w:rsidP="00830F97">
      <w:pPr>
        <w:pStyle w:val="Prrafodelista"/>
        <w:spacing w:line="276" w:lineRule="auto"/>
        <w:ind w:left="750" w:firstLine="666"/>
        <w:jc w:val="both"/>
        <w:rPr>
          <w:rFonts w:ascii="Arial" w:hAnsi="Arial" w:cs="Arial"/>
          <w:b/>
          <w:sz w:val="24"/>
          <w:szCs w:val="24"/>
        </w:rPr>
      </w:pPr>
    </w:p>
    <w:p w:rsidR="0028194A" w:rsidRPr="00B71532" w:rsidRDefault="0028194A" w:rsidP="00830F97">
      <w:pPr>
        <w:pStyle w:val="Prrafodelista"/>
        <w:numPr>
          <w:ilvl w:val="1"/>
          <w:numId w:val="1"/>
        </w:numPr>
        <w:spacing w:line="276" w:lineRule="auto"/>
        <w:jc w:val="both"/>
        <w:rPr>
          <w:rFonts w:ascii="Arial" w:hAnsi="Arial" w:cs="Arial"/>
          <w:b/>
          <w:sz w:val="24"/>
          <w:szCs w:val="24"/>
        </w:rPr>
      </w:pPr>
      <w:r w:rsidRPr="00B71532">
        <w:rPr>
          <w:rFonts w:ascii="Arial" w:hAnsi="Arial" w:cs="Arial"/>
          <w:b/>
          <w:sz w:val="24"/>
          <w:szCs w:val="24"/>
        </w:rPr>
        <w:t>En la etapa de investigación, qué diligencias ordenaría para allegarse de información y pruebas necesarias para soportar la presentación de un eventual Informe de Presunta Responsabilidad Administrativa (IPRA). ¿Qué características debe contener el IPRA en un caso como el descrito?</w:t>
      </w:r>
    </w:p>
    <w:p w:rsidR="0028194A" w:rsidRPr="00B71532" w:rsidRDefault="0028194A" w:rsidP="00830F97">
      <w:pPr>
        <w:pStyle w:val="Prrafodelista"/>
        <w:spacing w:line="276" w:lineRule="auto"/>
        <w:jc w:val="both"/>
        <w:rPr>
          <w:rFonts w:ascii="Arial" w:hAnsi="Arial" w:cs="Arial"/>
          <w:b/>
          <w:sz w:val="24"/>
          <w:szCs w:val="24"/>
        </w:rPr>
      </w:pPr>
    </w:p>
    <w:p w:rsidR="0028194A" w:rsidRPr="00B71532" w:rsidRDefault="0028194A" w:rsidP="007778A2">
      <w:pPr>
        <w:pStyle w:val="Prrafodelista"/>
        <w:spacing w:line="276" w:lineRule="auto"/>
        <w:ind w:firstLine="696"/>
        <w:jc w:val="both"/>
        <w:rPr>
          <w:rFonts w:ascii="Arial" w:hAnsi="Arial" w:cs="Arial"/>
          <w:sz w:val="24"/>
          <w:szCs w:val="24"/>
        </w:rPr>
      </w:pPr>
      <w:r w:rsidRPr="00B71532">
        <w:rPr>
          <w:rFonts w:ascii="Arial" w:hAnsi="Arial" w:cs="Arial"/>
          <w:sz w:val="24"/>
          <w:szCs w:val="24"/>
        </w:rPr>
        <w:lastRenderedPageBreak/>
        <w:t xml:space="preserve">Con fundamento dentro a la Ley Federal de Procedimiento Administrativo, en el titulo Segundo </w:t>
      </w:r>
      <w:r w:rsidRPr="00B71532">
        <w:rPr>
          <w:rStyle w:val="markedcontent"/>
          <w:rFonts w:ascii="Arial" w:hAnsi="Arial" w:cs="Arial"/>
          <w:sz w:val="24"/>
          <w:szCs w:val="24"/>
        </w:rPr>
        <w:t>DEL REGIMEN JURIDICO DE LOS ACTOS ADMINISTRATIVOS, capitulo Primero DEL ACTO</w:t>
      </w:r>
      <w:r w:rsidR="007778A2" w:rsidRPr="00B71532">
        <w:rPr>
          <w:rStyle w:val="markedcontent"/>
          <w:rFonts w:ascii="Arial" w:hAnsi="Arial" w:cs="Arial"/>
          <w:sz w:val="24"/>
          <w:szCs w:val="24"/>
        </w:rPr>
        <w:t xml:space="preserve"> </w:t>
      </w:r>
      <w:r w:rsidRPr="00B71532">
        <w:rPr>
          <w:rStyle w:val="markedcontent"/>
          <w:rFonts w:ascii="Arial" w:hAnsi="Arial" w:cs="Arial"/>
          <w:sz w:val="24"/>
          <w:szCs w:val="24"/>
        </w:rPr>
        <w:t>ADMINISTRATIVO</w:t>
      </w:r>
      <w:r w:rsidR="00830F97" w:rsidRPr="00B71532">
        <w:rPr>
          <w:rStyle w:val="markedcontent"/>
          <w:rFonts w:ascii="Arial" w:hAnsi="Arial" w:cs="Arial"/>
          <w:sz w:val="24"/>
          <w:szCs w:val="24"/>
        </w:rPr>
        <w:t xml:space="preserve">, articulo III, </w:t>
      </w:r>
      <w:r w:rsidRPr="00B71532">
        <w:rPr>
          <w:rStyle w:val="markedcontent"/>
          <w:rFonts w:ascii="Arial" w:hAnsi="Arial" w:cs="Arial"/>
          <w:sz w:val="24"/>
          <w:szCs w:val="24"/>
        </w:rPr>
        <w:t xml:space="preserve"> fracción </w:t>
      </w:r>
      <w:r w:rsidR="00830F97" w:rsidRPr="00B71532">
        <w:rPr>
          <w:rStyle w:val="markedcontent"/>
          <w:rFonts w:ascii="Arial" w:hAnsi="Arial" w:cs="Arial"/>
          <w:sz w:val="24"/>
          <w:szCs w:val="24"/>
        </w:rPr>
        <w:t>del I al XVI, se presentan todas las características correspondientes al IPRA.</w:t>
      </w:r>
    </w:p>
    <w:p w:rsidR="0028194A" w:rsidRPr="00B71532" w:rsidRDefault="0028194A" w:rsidP="00830F97">
      <w:pPr>
        <w:pStyle w:val="Prrafodelista"/>
        <w:spacing w:line="276" w:lineRule="auto"/>
        <w:ind w:left="750"/>
        <w:jc w:val="both"/>
        <w:rPr>
          <w:rFonts w:ascii="Arial" w:hAnsi="Arial" w:cs="Arial"/>
          <w:b/>
          <w:sz w:val="24"/>
          <w:szCs w:val="24"/>
        </w:rPr>
      </w:pPr>
    </w:p>
    <w:p w:rsidR="00B71532" w:rsidRPr="00B71532" w:rsidRDefault="00B71532" w:rsidP="00830F97">
      <w:pPr>
        <w:pStyle w:val="Prrafodelista"/>
        <w:spacing w:line="276" w:lineRule="auto"/>
        <w:ind w:left="750"/>
        <w:jc w:val="both"/>
        <w:rPr>
          <w:rFonts w:ascii="Arial" w:hAnsi="Arial" w:cs="Arial"/>
          <w:b/>
          <w:sz w:val="24"/>
          <w:szCs w:val="24"/>
        </w:rPr>
      </w:pPr>
    </w:p>
    <w:p w:rsidR="0028194A" w:rsidRPr="00B71532" w:rsidRDefault="0028194A" w:rsidP="00830F97">
      <w:pPr>
        <w:pStyle w:val="Prrafodelista"/>
        <w:numPr>
          <w:ilvl w:val="1"/>
          <w:numId w:val="1"/>
        </w:numPr>
        <w:spacing w:line="276" w:lineRule="auto"/>
        <w:jc w:val="both"/>
        <w:rPr>
          <w:rFonts w:ascii="Arial" w:hAnsi="Arial" w:cs="Arial"/>
          <w:b/>
          <w:sz w:val="24"/>
          <w:szCs w:val="24"/>
        </w:rPr>
      </w:pPr>
      <w:r w:rsidRPr="00B71532">
        <w:rPr>
          <w:rFonts w:ascii="Arial" w:hAnsi="Arial" w:cs="Arial"/>
          <w:b/>
          <w:sz w:val="24"/>
          <w:szCs w:val="24"/>
        </w:rPr>
        <w:t>Describa cuáles pudieran ser las posibles faltas administrativas que advierte, si son graves o no graves y quién o quiénes pudieron haberlas cometido. ¿Advierte la comisión de algún delito?</w:t>
      </w:r>
    </w:p>
    <w:p w:rsidR="00830F97" w:rsidRPr="00B71532" w:rsidRDefault="00830F97" w:rsidP="00830F97">
      <w:pPr>
        <w:pStyle w:val="Prrafodelista"/>
        <w:spacing w:line="276" w:lineRule="auto"/>
        <w:ind w:left="750"/>
        <w:jc w:val="both"/>
        <w:rPr>
          <w:rFonts w:ascii="Arial" w:hAnsi="Arial" w:cs="Arial"/>
          <w:b/>
          <w:sz w:val="24"/>
          <w:szCs w:val="24"/>
        </w:rPr>
      </w:pPr>
    </w:p>
    <w:p w:rsidR="00B71532" w:rsidRPr="00B71532" w:rsidRDefault="00B71532" w:rsidP="00830F97">
      <w:pPr>
        <w:pStyle w:val="Prrafodelista"/>
        <w:spacing w:line="276" w:lineRule="auto"/>
        <w:ind w:left="750"/>
        <w:jc w:val="both"/>
        <w:rPr>
          <w:rFonts w:ascii="Arial" w:hAnsi="Arial" w:cs="Arial"/>
          <w:b/>
          <w:sz w:val="24"/>
          <w:szCs w:val="24"/>
        </w:rPr>
      </w:pPr>
    </w:p>
    <w:p w:rsidR="001A2FA9" w:rsidRPr="00B71532" w:rsidRDefault="007778A2" w:rsidP="00B71532">
      <w:pPr>
        <w:pStyle w:val="Prrafodelista"/>
        <w:spacing w:line="276" w:lineRule="auto"/>
        <w:ind w:left="750" w:firstLine="666"/>
        <w:jc w:val="both"/>
        <w:rPr>
          <w:rFonts w:ascii="Arial" w:hAnsi="Arial" w:cs="Arial"/>
          <w:sz w:val="24"/>
          <w:szCs w:val="24"/>
        </w:rPr>
      </w:pPr>
      <w:r w:rsidRPr="00B71532">
        <w:rPr>
          <w:rFonts w:ascii="Arial" w:hAnsi="Arial" w:cs="Arial"/>
          <w:sz w:val="24"/>
          <w:szCs w:val="24"/>
        </w:rPr>
        <w:t>En base a la Ley General de Responsabilidades Administrativas, en su título Tercero DE LAS FALTAS ADMINISTRATIVAS DE LOS SERVIDORES PÚBLICOS Y ACTOS DE PARTICULARES VINCULADOS CON FALTAS ADMINISTRATIVAS GRAVES, Capítulo II DE LAS FALTAS ADMINISTRATIVAS GRAVES DE LOS SERVIDORES PÚBLICOS y Capitulo II DE LOS ACTOS DE PARTICULARES VINCULADOS CON FALTAS ADMINISTRATIVAS GRAVES</w:t>
      </w:r>
      <w:r w:rsidR="007F1F20" w:rsidRPr="00B71532">
        <w:rPr>
          <w:rFonts w:ascii="Arial" w:hAnsi="Arial" w:cs="Arial"/>
          <w:sz w:val="24"/>
          <w:szCs w:val="24"/>
        </w:rPr>
        <w:t>, se menciona que las faltas administrativas presentadas en el caso si son faltas graves, y estas son cargadas tanto para el servidor público</w:t>
      </w:r>
      <w:r w:rsidR="001A2FA9" w:rsidRPr="00B71532">
        <w:rPr>
          <w:rFonts w:ascii="Arial" w:hAnsi="Arial" w:cs="Arial"/>
          <w:sz w:val="24"/>
          <w:szCs w:val="24"/>
        </w:rPr>
        <w:t>, como para el particular Y la comisión respectiva de algún delito pasar</w:t>
      </w:r>
      <w:r w:rsidR="00B71532" w:rsidRPr="00B71532">
        <w:rPr>
          <w:rFonts w:ascii="Arial" w:hAnsi="Arial" w:cs="Arial"/>
          <w:sz w:val="24"/>
          <w:szCs w:val="24"/>
        </w:rPr>
        <w:t xml:space="preserve">a a las autoridades competentes </w:t>
      </w:r>
      <w:r w:rsidR="001A2FA9" w:rsidRPr="00B71532">
        <w:rPr>
          <w:rFonts w:ascii="Arial" w:hAnsi="Arial" w:cs="Arial"/>
          <w:sz w:val="24"/>
          <w:szCs w:val="24"/>
        </w:rPr>
        <w:t>para determinar la sentencia derivado de este procedimiento administrativo. La posibles</w:t>
      </w:r>
      <w:r w:rsidR="00B71532" w:rsidRPr="00B71532">
        <w:rPr>
          <w:rFonts w:ascii="Arial" w:hAnsi="Arial" w:cs="Arial"/>
          <w:sz w:val="24"/>
          <w:szCs w:val="24"/>
        </w:rPr>
        <w:t xml:space="preserve"> </w:t>
      </w:r>
      <w:r w:rsidR="001A2FA9" w:rsidRPr="00B71532">
        <w:rPr>
          <w:rFonts w:ascii="Arial" w:hAnsi="Arial" w:cs="Arial"/>
          <w:sz w:val="24"/>
          <w:szCs w:val="24"/>
        </w:rPr>
        <w:t>sanciones impuestas por el Tribunal constituirán en: suspensión del empleo, cargo o comisión;</w:t>
      </w:r>
      <w:r w:rsidR="00B71532" w:rsidRPr="00B71532">
        <w:rPr>
          <w:rFonts w:ascii="Arial" w:hAnsi="Arial" w:cs="Arial"/>
          <w:sz w:val="24"/>
          <w:szCs w:val="24"/>
        </w:rPr>
        <w:t xml:space="preserve"> </w:t>
      </w:r>
      <w:r w:rsidR="001A2FA9" w:rsidRPr="00B71532">
        <w:rPr>
          <w:rFonts w:ascii="Arial" w:hAnsi="Arial" w:cs="Arial"/>
          <w:sz w:val="24"/>
          <w:szCs w:val="24"/>
        </w:rPr>
        <w:t>destitución del empleo, cargo o comisión; sanción económica y/o un a inhabilitación temporal</w:t>
      </w:r>
      <w:r w:rsidR="00B71532" w:rsidRPr="00B71532">
        <w:rPr>
          <w:rFonts w:ascii="Arial" w:hAnsi="Arial" w:cs="Arial"/>
          <w:sz w:val="24"/>
          <w:szCs w:val="24"/>
        </w:rPr>
        <w:t xml:space="preserve"> </w:t>
      </w:r>
      <w:r w:rsidR="001A2FA9" w:rsidRPr="00B71532">
        <w:rPr>
          <w:rFonts w:ascii="Arial" w:hAnsi="Arial" w:cs="Arial"/>
          <w:sz w:val="24"/>
          <w:szCs w:val="24"/>
        </w:rPr>
        <w:t>para desempeñar empleos, cargos o comisiones en el servicio público.</w:t>
      </w:r>
    </w:p>
    <w:p w:rsidR="00B71532" w:rsidRPr="00B71532" w:rsidRDefault="00B71532" w:rsidP="00B71532">
      <w:pPr>
        <w:pStyle w:val="Prrafodelista"/>
        <w:spacing w:line="276" w:lineRule="auto"/>
        <w:ind w:left="750" w:firstLine="666"/>
        <w:jc w:val="both"/>
        <w:rPr>
          <w:rFonts w:ascii="Arial" w:hAnsi="Arial" w:cs="Arial"/>
          <w:sz w:val="24"/>
          <w:szCs w:val="24"/>
        </w:rPr>
      </w:pPr>
    </w:p>
    <w:p w:rsidR="00B71532" w:rsidRPr="00B71532" w:rsidRDefault="00B71532" w:rsidP="00B71532">
      <w:pPr>
        <w:pStyle w:val="Prrafodelista"/>
        <w:spacing w:line="276" w:lineRule="auto"/>
        <w:ind w:left="750" w:firstLine="666"/>
        <w:jc w:val="both"/>
        <w:rPr>
          <w:rFonts w:ascii="Arial" w:hAnsi="Arial" w:cs="Arial"/>
          <w:sz w:val="24"/>
          <w:szCs w:val="24"/>
        </w:rPr>
      </w:pPr>
    </w:p>
    <w:p w:rsidR="001A2FA9" w:rsidRPr="00B71532" w:rsidRDefault="001A2FA9" w:rsidP="001A2FA9">
      <w:pPr>
        <w:pStyle w:val="Prrafodelista"/>
        <w:spacing w:line="276" w:lineRule="auto"/>
        <w:ind w:left="750" w:firstLine="666"/>
        <w:jc w:val="both"/>
        <w:rPr>
          <w:rFonts w:ascii="Arial" w:hAnsi="Arial" w:cs="Arial"/>
          <w:sz w:val="24"/>
          <w:szCs w:val="24"/>
        </w:rPr>
      </w:pPr>
    </w:p>
    <w:p w:rsidR="001A2FA9" w:rsidRPr="00B71532" w:rsidRDefault="001A2FA9" w:rsidP="001A2FA9">
      <w:pPr>
        <w:pStyle w:val="Prrafodelista"/>
        <w:numPr>
          <w:ilvl w:val="0"/>
          <w:numId w:val="1"/>
        </w:numPr>
        <w:spacing w:line="276" w:lineRule="auto"/>
        <w:jc w:val="both"/>
        <w:rPr>
          <w:rFonts w:ascii="Arial" w:hAnsi="Arial" w:cs="Arial"/>
          <w:b/>
          <w:sz w:val="24"/>
          <w:szCs w:val="24"/>
        </w:rPr>
      </w:pPr>
      <w:r w:rsidRPr="00B71532">
        <w:rPr>
          <w:rFonts w:ascii="Arial" w:hAnsi="Arial" w:cs="Arial"/>
          <w:b/>
          <w:sz w:val="24"/>
          <w:szCs w:val="24"/>
        </w:rPr>
        <w:t>Por lo que toca al control interno y como parte de las acciones tendientes a prevenir hechos de corrupción, a cargo del Órgano Interno de Control.</w:t>
      </w:r>
    </w:p>
    <w:p w:rsidR="001A2FA9" w:rsidRPr="00B71532" w:rsidRDefault="001A2FA9" w:rsidP="001A2FA9">
      <w:pPr>
        <w:pStyle w:val="Prrafodelista"/>
        <w:spacing w:line="276" w:lineRule="auto"/>
        <w:jc w:val="both"/>
        <w:rPr>
          <w:rFonts w:ascii="Arial" w:hAnsi="Arial" w:cs="Arial"/>
          <w:b/>
          <w:sz w:val="24"/>
          <w:szCs w:val="24"/>
        </w:rPr>
      </w:pPr>
    </w:p>
    <w:p w:rsidR="00830F97" w:rsidRPr="00B71532" w:rsidRDefault="001A2FA9" w:rsidP="001A2FA9">
      <w:pPr>
        <w:pStyle w:val="Prrafodelista"/>
        <w:numPr>
          <w:ilvl w:val="1"/>
          <w:numId w:val="1"/>
        </w:numPr>
        <w:spacing w:line="276" w:lineRule="auto"/>
        <w:jc w:val="both"/>
        <w:rPr>
          <w:rFonts w:ascii="Arial" w:hAnsi="Arial" w:cs="Arial"/>
          <w:b/>
          <w:sz w:val="24"/>
          <w:szCs w:val="24"/>
        </w:rPr>
      </w:pPr>
      <w:r w:rsidRPr="00B71532">
        <w:rPr>
          <w:rFonts w:ascii="Arial" w:hAnsi="Arial" w:cs="Arial"/>
          <w:b/>
          <w:sz w:val="24"/>
          <w:szCs w:val="24"/>
        </w:rPr>
        <w:lastRenderedPageBreak/>
        <w:t>¿Qué recomendaciones y lineamientos tendría que emitir el OIC para evitar en el futuro este tipo de hechos de corrupción?</w:t>
      </w:r>
    </w:p>
    <w:p w:rsidR="00B71532" w:rsidRPr="00B71532" w:rsidRDefault="00B71532" w:rsidP="00B71532">
      <w:pPr>
        <w:pStyle w:val="Prrafodelista"/>
        <w:spacing w:line="276" w:lineRule="auto"/>
        <w:ind w:left="750"/>
        <w:jc w:val="both"/>
        <w:rPr>
          <w:rFonts w:ascii="Arial" w:hAnsi="Arial" w:cs="Arial"/>
          <w:b/>
          <w:sz w:val="24"/>
          <w:szCs w:val="24"/>
        </w:rPr>
      </w:pPr>
    </w:p>
    <w:p w:rsidR="00B71532" w:rsidRPr="00B71532" w:rsidRDefault="00B71532" w:rsidP="00B71532">
      <w:pPr>
        <w:pStyle w:val="Prrafodelista"/>
        <w:numPr>
          <w:ilvl w:val="1"/>
          <w:numId w:val="5"/>
        </w:numPr>
        <w:spacing w:line="276" w:lineRule="auto"/>
        <w:jc w:val="both"/>
        <w:rPr>
          <w:rFonts w:ascii="Arial" w:hAnsi="Arial" w:cs="Arial"/>
          <w:sz w:val="24"/>
          <w:szCs w:val="24"/>
        </w:rPr>
      </w:pPr>
      <w:r w:rsidRPr="00B71532">
        <w:rPr>
          <w:rFonts w:ascii="Arial" w:hAnsi="Arial" w:cs="Arial"/>
          <w:sz w:val="24"/>
          <w:szCs w:val="24"/>
        </w:rPr>
        <w:t>Tener mecanismos de vigilancia relacionado a terceros, para que valoren las convocatorias de las adjudicaciones disponibles y la selección de los mismos.</w:t>
      </w:r>
    </w:p>
    <w:p w:rsidR="00B71532" w:rsidRPr="00B71532" w:rsidRDefault="00B71532" w:rsidP="00B71532">
      <w:pPr>
        <w:pStyle w:val="Prrafodelista"/>
        <w:numPr>
          <w:ilvl w:val="1"/>
          <w:numId w:val="5"/>
        </w:numPr>
        <w:spacing w:line="276" w:lineRule="auto"/>
        <w:jc w:val="both"/>
        <w:rPr>
          <w:rFonts w:ascii="Arial" w:hAnsi="Arial" w:cs="Arial"/>
          <w:sz w:val="24"/>
          <w:szCs w:val="24"/>
        </w:rPr>
      </w:pPr>
      <w:r w:rsidRPr="00B71532">
        <w:rPr>
          <w:rFonts w:ascii="Arial" w:hAnsi="Arial" w:cs="Arial"/>
          <w:sz w:val="24"/>
          <w:szCs w:val="24"/>
        </w:rPr>
        <w:t>Aplicar todas las validaciones en las listas de proveedores.</w:t>
      </w:r>
    </w:p>
    <w:p w:rsidR="00B71532" w:rsidRPr="00B71532" w:rsidRDefault="00B71532" w:rsidP="00B71532">
      <w:pPr>
        <w:pStyle w:val="Prrafodelista"/>
        <w:numPr>
          <w:ilvl w:val="1"/>
          <w:numId w:val="5"/>
        </w:numPr>
        <w:spacing w:line="276" w:lineRule="auto"/>
        <w:jc w:val="both"/>
        <w:rPr>
          <w:rFonts w:ascii="Arial" w:hAnsi="Arial" w:cs="Arial"/>
          <w:sz w:val="24"/>
          <w:szCs w:val="24"/>
        </w:rPr>
      </w:pPr>
      <w:r w:rsidRPr="00B71532">
        <w:rPr>
          <w:rFonts w:ascii="Arial" w:hAnsi="Arial" w:cs="Arial"/>
          <w:sz w:val="24"/>
          <w:szCs w:val="24"/>
        </w:rPr>
        <w:t xml:space="preserve">Pasar al beneficiario de la comisión por aprobación del Pleno. </w:t>
      </w:r>
    </w:p>
    <w:p w:rsidR="00B71532" w:rsidRPr="00B71532" w:rsidRDefault="00B71532" w:rsidP="00B71532">
      <w:pPr>
        <w:pStyle w:val="Prrafodelista"/>
        <w:numPr>
          <w:ilvl w:val="1"/>
          <w:numId w:val="5"/>
        </w:numPr>
        <w:spacing w:line="276" w:lineRule="auto"/>
        <w:jc w:val="both"/>
        <w:rPr>
          <w:rFonts w:ascii="Arial" w:hAnsi="Arial" w:cs="Arial"/>
          <w:sz w:val="24"/>
          <w:szCs w:val="24"/>
        </w:rPr>
      </w:pPr>
      <w:r w:rsidRPr="00B71532">
        <w:rPr>
          <w:rFonts w:ascii="Arial" w:hAnsi="Arial" w:cs="Arial"/>
          <w:sz w:val="24"/>
          <w:szCs w:val="24"/>
        </w:rPr>
        <w:t>Realizar inventarios competentes donde mantenga relación del estado que guardan los bienes, así como la procedencia de los mismos.</w:t>
      </w:r>
    </w:p>
    <w:p w:rsidR="00B71532" w:rsidRPr="00B71532" w:rsidRDefault="00B71532" w:rsidP="00B71532">
      <w:pPr>
        <w:pStyle w:val="Prrafodelista"/>
        <w:numPr>
          <w:ilvl w:val="1"/>
          <w:numId w:val="5"/>
        </w:numPr>
        <w:spacing w:line="276" w:lineRule="auto"/>
        <w:jc w:val="both"/>
        <w:rPr>
          <w:rFonts w:ascii="Arial" w:hAnsi="Arial" w:cs="Arial"/>
          <w:sz w:val="24"/>
          <w:szCs w:val="24"/>
        </w:rPr>
      </w:pPr>
      <w:r w:rsidRPr="00B71532">
        <w:rPr>
          <w:rFonts w:ascii="Arial" w:hAnsi="Arial" w:cs="Arial"/>
          <w:sz w:val="24"/>
          <w:szCs w:val="24"/>
        </w:rPr>
        <w:t>Realizar un estudio de los precios de los proveedores para garantizar precio-beneficio, y así generar un parámetro de buena selección entre los postulantes.</w:t>
      </w:r>
    </w:p>
    <w:sectPr w:rsidR="00B71532" w:rsidRPr="00B715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E65" w:rsidRDefault="00CD1E65" w:rsidP="00EB66A5">
      <w:pPr>
        <w:spacing w:after="0" w:line="240" w:lineRule="auto"/>
      </w:pPr>
      <w:r>
        <w:separator/>
      </w:r>
    </w:p>
  </w:endnote>
  <w:endnote w:type="continuationSeparator" w:id="0">
    <w:p w:rsidR="00CD1E65" w:rsidRDefault="00CD1E65" w:rsidP="00EB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E65" w:rsidRDefault="00CD1E65" w:rsidP="00EB66A5">
      <w:pPr>
        <w:spacing w:after="0" w:line="240" w:lineRule="auto"/>
      </w:pPr>
      <w:r>
        <w:separator/>
      </w:r>
    </w:p>
  </w:footnote>
  <w:footnote w:type="continuationSeparator" w:id="0">
    <w:p w:rsidR="00CD1E65" w:rsidRDefault="00CD1E65" w:rsidP="00EB6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A5" w:rsidRDefault="00EB66A5" w:rsidP="00EB66A5">
    <w:pPr>
      <w:jc w:val="center"/>
      <w:rPr>
        <w:rFonts w:ascii="Calibri" w:eastAsia="Times New Roman" w:hAnsi="Calibri" w:cs="Calibri"/>
        <w:b/>
        <w:bCs/>
        <w:sz w:val="30"/>
        <w:szCs w:val="30"/>
        <w:lang w:eastAsia="es-MX"/>
      </w:rPr>
    </w:pPr>
    <w:r w:rsidRPr="00EB66A5">
      <w:rPr>
        <w:rFonts w:ascii="Calibri" w:hAnsi="Calibri" w:cs="Calibri"/>
        <w:b/>
        <w:sz w:val="30"/>
        <w:szCs w:val="30"/>
      </w:rPr>
      <w:t xml:space="preserve">CASO PRÁCTICO PARA LA EVALUACION DE </w:t>
    </w:r>
    <w:r w:rsidRPr="00EB66A5">
      <w:rPr>
        <w:rFonts w:ascii="Calibri" w:eastAsia="Times New Roman" w:hAnsi="Calibri" w:cs="Calibri"/>
        <w:b/>
        <w:bCs/>
        <w:sz w:val="30"/>
        <w:szCs w:val="30"/>
        <w:lang w:eastAsia="es-MX"/>
      </w:rPr>
      <w:t>ASPIRANTES A LA TITULARIDAD DEL</w:t>
    </w:r>
    <w:r w:rsidRPr="00EB66A5">
      <w:rPr>
        <w:rFonts w:ascii="Calibri" w:eastAsia="Times New Roman" w:hAnsi="Calibri" w:cs="Calibri"/>
        <w:b/>
        <w:sz w:val="30"/>
        <w:szCs w:val="30"/>
        <w:lang w:eastAsia="es-MX"/>
      </w:rPr>
      <w:t xml:space="preserve"> </w:t>
    </w:r>
    <w:r w:rsidRPr="00EB66A5">
      <w:rPr>
        <w:rFonts w:ascii="Calibri" w:eastAsia="Times New Roman" w:hAnsi="Calibri" w:cs="Calibri"/>
        <w:b/>
        <w:bCs/>
        <w:sz w:val="30"/>
        <w:szCs w:val="30"/>
        <w:lang w:eastAsia="es-MX"/>
      </w:rPr>
      <w:t>ÓRGANO INTERNO DE CONTROL DE COCULA, JALISCO</w:t>
    </w:r>
  </w:p>
  <w:p w:rsidR="007778A2" w:rsidRDefault="007778A2" w:rsidP="00EB66A5">
    <w:pPr>
      <w:jc w:val="center"/>
      <w:rPr>
        <w:rFonts w:ascii="Calibri" w:eastAsia="Times New Roman" w:hAnsi="Calibri" w:cs="Calibri"/>
        <w:b/>
        <w:bCs/>
        <w:sz w:val="30"/>
        <w:szCs w:val="30"/>
        <w:lang w:eastAsia="es-MX"/>
      </w:rPr>
    </w:pPr>
    <w:r>
      <w:rPr>
        <w:rFonts w:ascii="Calibri" w:eastAsia="Times New Roman" w:hAnsi="Calibri" w:cs="Calibri"/>
        <w:b/>
        <w:bCs/>
        <w:sz w:val="30"/>
        <w:szCs w:val="30"/>
        <w:lang w:eastAsia="es-MX"/>
      </w:rPr>
      <w:t>Acuña Zarate Edgar Miguel</w:t>
    </w:r>
  </w:p>
  <w:p w:rsidR="007778A2" w:rsidRPr="00EB66A5" w:rsidRDefault="007778A2" w:rsidP="00EB66A5">
    <w:pPr>
      <w:jc w:val="center"/>
      <w:rPr>
        <w:rFonts w:ascii="Calibri" w:eastAsia="Times New Roman" w:hAnsi="Calibri" w:cs="Calibri"/>
        <w:b/>
        <w:sz w:val="30"/>
        <w:szCs w:val="30"/>
        <w:lang w:eastAsia="es-MX"/>
      </w:rPr>
    </w:pPr>
    <w:r>
      <w:rPr>
        <w:rFonts w:ascii="Calibri" w:eastAsia="Times New Roman" w:hAnsi="Calibri" w:cs="Calibri"/>
        <w:b/>
        <w:sz w:val="30"/>
        <w:szCs w:val="30"/>
        <w:lang w:eastAsia="es-MX"/>
      </w:rPr>
      <w:t>21 de Octubre del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49E"/>
    <w:multiLevelType w:val="hybridMultilevel"/>
    <w:tmpl w:val="941A1B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733049"/>
    <w:multiLevelType w:val="multilevel"/>
    <w:tmpl w:val="D96C9A0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00C70A2"/>
    <w:multiLevelType w:val="hybridMultilevel"/>
    <w:tmpl w:val="9392C4B8"/>
    <w:lvl w:ilvl="0" w:tplc="27D69666">
      <w:start w:val="2"/>
      <w:numFmt w:val="bullet"/>
      <w:lvlText w:val="•"/>
      <w:lvlJc w:val="left"/>
      <w:pPr>
        <w:ind w:left="2526" w:hanging="360"/>
      </w:pPr>
      <w:rPr>
        <w:rFonts w:ascii="Calibri" w:eastAsiaTheme="minorHAnsi" w:hAnsi="Calibri" w:cs="Calibri" w:hint="default"/>
      </w:rPr>
    </w:lvl>
    <w:lvl w:ilvl="1" w:tplc="080A0003">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3" w15:restartNumberingAfterBreak="0">
    <w:nsid w:val="65676720"/>
    <w:multiLevelType w:val="hybridMultilevel"/>
    <w:tmpl w:val="6A92DDF0"/>
    <w:lvl w:ilvl="0" w:tplc="27D69666">
      <w:start w:val="2"/>
      <w:numFmt w:val="bullet"/>
      <w:lvlText w:val="•"/>
      <w:lvlJc w:val="left"/>
      <w:pPr>
        <w:ind w:left="1776" w:hanging="360"/>
      </w:pPr>
      <w:rPr>
        <w:rFonts w:ascii="Calibri" w:eastAsiaTheme="minorHAnsi" w:hAnsi="Calibri" w:cs="Calibri"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4" w15:restartNumberingAfterBreak="0">
    <w:nsid w:val="6BAA1B3F"/>
    <w:multiLevelType w:val="hybridMultilevel"/>
    <w:tmpl w:val="D0222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A5"/>
    <w:rsid w:val="001A2FA9"/>
    <w:rsid w:val="0028194A"/>
    <w:rsid w:val="006F47D1"/>
    <w:rsid w:val="007778A2"/>
    <w:rsid w:val="007F1F20"/>
    <w:rsid w:val="00830F97"/>
    <w:rsid w:val="00963475"/>
    <w:rsid w:val="00B71532"/>
    <w:rsid w:val="00CD1E65"/>
    <w:rsid w:val="00D356FE"/>
    <w:rsid w:val="00DF3BD6"/>
    <w:rsid w:val="00EB66A5"/>
    <w:rsid w:val="00F66F4D"/>
    <w:rsid w:val="00F838D3"/>
    <w:rsid w:val="00FF67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D7106-8301-416A-883F-9FA89F09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6A5"/>
    <w:pPr>
      <w:ind w:left="720"/>
      <w:contextualSpacing/>
    </w:pPr>
  </w:style>
  <w:style w:type="paragraph" w:styleId="Encabezado">
    <w:name w:val="header"/>
    <w:basedOn w:val="Normal"/>
    <w:link w:val="EncabezadoCar"/>
    <w:uiPriority w:val="99"/>
    <w:unhideWhenUsed/>
    <w:rsid w:val="00EB66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66A5"/>
  </w:style>
  <w:style w:type="paragraph" w:styleId="Piedepgina">
    <w:name w:val="footer"/>
    <w:basedOn w:val="Normal"/>
    <w:link w:val="PiedepginaCar"/>
    <w:uiPriority w:val="99"/>
    <w:unhideWhenUsed/>
    <w:rsid w:val="00EB66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66A5"/>
  </w:style>
  <w:style w:type="character" w:customStyle="1" w:styleId="markedcontent">
    <w:name w:val="markedcontent"/>
    <w:basedOn w:val="Fuentedeprrafopredeter"/>
    <w:rsid w:val="00281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148635">
      <w:bodyDiv w:val="1"/>
      <w:marLeft w:val="0"/>
      <w:marRight w:val="0"/>
      <w:marTop w:val="0"/>
      <w:marBottom w:val="0"/>
      <w:divBdr>
        <w:top w:val="none" w:sz="0" w:space="0" w:color="auto"/>
        <w:left w:val="none" w:sz="0" w:space="0" w:color="auto"/>
        <w:bottom w:val="none" w:sz="0" w:space="0" w:color="auto"/>
        <w:right w:val="none" w:sz="0" w:space="0" w:color="auto"/>
      </w:divBdr>
      <w:divsChild>
        <w:div w:id="719398989">
          <w:marLeft w:val="0"/>
          <w:marRight w:val="0"/>
          <w:marTop w:val="0"/>
          <w:marBottom w:val="0"/>
          <w:divBdr>
            <w:top w:val="none" w:sz="0" w:space="0" w:color="auto"/>
            <w:left w:val="none" w:sz="0" w:space="0" w:color="auto"/>
            <w:bottom w:val="none" w:sz="0" w:space="0" w:color="auto"/>
            <w:right w:val="none" w:sz="0" w:space="0" w:color="auto"/>
          </w:divBdr>
        </w:div>
        <w:div w:id="85230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3173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Guillermina Pimienta</dc:creator>
  <cp:keywords/>
  <dc:description/>
  <cp:lastModifiedBy>Diana Vera Alvarez</cp:lastModifiedBy>
  <cp:revision>2</cp:revision>
  <dcterms:created xsi:type="dcterms:W3CDTF">2021-10-21T21:52:00Z</dcterms:created>
  <dcterms:modified xsi:type="dcterms:W3CDTF">2021-10-21T21:52:00Z</dcterms:modified>
</cp:coreProperties>
</file>