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103A08" w14:textId="10C701BD" w:rsidR="00A8010E" w:rsidRPr="00A8010E" w:rsidRDefault="00A8010E" w:rsidP="00A8010E">
      <w:pPr>
        <w:rPr>
          <w:rFonts w:ascii="Times New Roman" w:eastAsia="Times New Roman" w:hAnsi="Times New Roman" w:cs="Times New Roman"/>
          <w:lang w:eastAsia="es-ES_tradnl"/>
        </w:rPr>
      </w:pP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"C:\\var\\folders\\bl\\9tzfcjn914n7bhztw8gwtxf80000gn\\T\\com.microsoft.Word\\WebArchiveCopyPasteTempFiles\\page1image16414528"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509B2C6C" wp14:editId="537762D7">
            <wp:extent cx="4211955" cy="593090"/>
            <wp:effectExtent l="0" t="0" r="0" b="3810"/>
            <wp:docPr id="11" name="Imagen 11" descr="page1image1641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414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1955" cy="593090"/>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"C:\\var\\folders\\bl\\9tzfcjn914n7bhztw8gwtxf80000gn\\T\\com.microsoft.Word\\WebArchiveCopyPasteTempFiles\\page1image16409120"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6C040273" wp14:editId="620FB3C8">
            <wp:extent cx="2821305" cy="38735"/>
            <wp:effectExtent l="0" t="0" r="0" b="0"/>
            <wp:docPr id="10" name="Imagen 10" descr="page1image1640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409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305" cy="38735"/>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p>
    <w:p w14:paraId="4E8EEC8B" w14:textId="2182A047" w:rsidR="00A8010E" w:rsidRPr="00A8010E" w:rsidRDefault="00A8010E" w:rsidP="00A8010E">
      <w:pPr>
        <w:spacing w:before="100" w:beforeAutospacing="1" w:after="100" w:afterAutospacing="1"/>
        <w:rPr>
          <w:rFonts w:ascii="Times New Roman" w:eastAsia="Times New Roman" w:hAnsi="Times New Roman" w:cs="Times New Roman"/>
          <w:lang w:eastAsia="es-ES_tradnl"/>
        </w:rPr>
      </w:pPr>
      <w:r w:rsidRPr="00A8010E">
        <w:rPr>
          <w:rFonts w:ascii="Arial" w:eastAsia="Times New Roman" w:hAnsi="Arial" w:cs="Arial"/>
          <w:b/>
          <w:bCs/>
          <w:sz w:val="22"/>
          <w:szCs w:val="22"/>
          <w:lang w:eastAsia="es-ES_tradnl"/>
        </w:rPr>
        <w:t xml:space="preserve">NOMBRE: </w:t>
      </w:r>
      <w:r>
        <w:rPr>
          <w:rFonts w:ascii="Arial" w:eastAsia="Times New Roman" w:hAnsi="Arial" w:cs="Arial"/>
          <w:b/>
          <w:bCs/>
          <w:sz w:val="22"/>
          <w:szCs w:val="22"/>
          <w:lang w:eastAsia="es-ES_tradnl"/>
        </w:rPr>
        <w:t xml:space="preserve"> ENRIQUE HERNANDEZ GUZMAN</w:t>
      </w:r>
    </w:p>
    <w:p w14:paraId="5C156DB5" w14:textId="77777777" w:rsidR="00A8010E" w:rsidRPr="00A8010E" w:rsidRDefault="00A8010E" w:rsidP="00A8010E">
      <w:pPr>
        <w:spacing w:before="100" w:beforeAutospacing="1" w:after="100" w:afterAutospacing="1"/>
        <w:jc w:val="right"/>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Guadalajara, Jalisco, 20 de octubre de 2021. </w:t>
      </w:r>
    </w:p>
    <w:p w14:paraId="3D1E9118"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 w:eastAsia="Times New Roman" w:hAnsi="Arial" w:cs="Arial"/>
          <w:b/>
          <w:bCs/>
          <w:sz w:val="22"/>
          <w:szCs w:val="22"/>
          <w:lang w:eastAsia="es-ES_tradnl"/>
        </w:rPr>
        <w:t xml:space="preserve">Asunto: </w:t>
      </w:r>
      <w:r w:rsidRPr="00A8010E">
        <w:rPr>
          <w:rFonts w:ascii="ArialMT" w:eastAsia="Times New Roman" w:hAnsi="ArialMT" w:cs="Times New Roman"/>
          <w:sz w:val="22"/>
          <w:szCs w:val="22"/>
          <w:lang w:eastAsia="es-ES_tradnl"/>
        </w:rPr>
        <w:t xml:space="preserve">Caso práctico para evaluar a las y a los aspirantes a la titularidad de Órganos Internos de Control de Organismos Constitucionales Autónomos 2021. </w:t>
      </w:r>
    </w:p>
    <w:p w14:paraId="58B1257A"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 w:eastAsia="Times New Roman" w:hAnsi="Arial" w:cs="Arial"/>
          <w:b/>
          <w:bCs/>
          <w:sz w:val="22"/>
          <w:szCs w:val="22"/>
          <w:lang w:eastAsia="es-ES_tradnl"/>
        </w:rPr>
        <w:t xml:space="preserve">INSTRUCCIONES. </w:t>
      </w:r>
      <w:r w:rsidRPr="00A8010E">
        <w:rPr>
          <w:rFonts w:ascii="ArialMT" w:eastAsia="Times New Roman" w:hAnsi="ArialMT" w:cs="Times New Roman"/>
          <w:sz w:val="22"/>
          <w:szCs w:val="22"/>
          <w:lang w:eastAsia="es-ES_tradnl"/>
        </w:rPr>
        <w:t xml:space="preserve">A las 18:00 horas del día 20 de octubre de 2021 encontrarás en nuestra página oficial </w:t>
      </w:r>
      <w:r w:rsidRPr="00A8010E">
        <w:rPr>
          <w:rFonts w:ascii="ArialMT" w:eastAsia="Times New Roman" w:hAnsi="ArialMT" w:cs="Times New Roman"/>
          <w:color w:val="0000FF"/>
          <w:sz w:val="22"/>
          <w:szCs w:val="22"/>
          <w:lang w:eastAsia="es-ES_tradnl"/>
        </w:rPr>
        <w:t xml:space="preserve">cpsjalisco.org </w:t>
      </w:r>
      <w:r w:rsidRPr="00A8010E">
        <w:rPr>
          <w:rFonts w:ascii="ArialMT" w:eastAsia="Times New Roman" w:hAnsi="ArialMT" w:cs="Times New Roman"/>
          <w:sz w:val="22"/>
          <w:szCs w:val="22"/>
          <w:lang w:eastAsia="es-ES_tradnl"/>
        </w:rPr>
        <w:t xml:space="preserve">este caso práctico de evaluación sobre la idoneidad curricular de tu perfil. De acuerdo con los Criterios previamente aprobados por el CPS, se encuentra permitido acceder a cualquier información útil para responder a las preguntas que se incluyen al final, lo que se encuentra prohibido es compartir las respuestas o contestarlas en equipo. La evaluación es estrictamente individual. Una vez contestado el ejercicio, por favor envíalo a más tardar a las 21:00 horas a nuestro correo institucional </w:t>
      </w:r>
      <w:r w:rsidRPr="00A8010E">
        <w:rPr>
          <w:rFonts w:ascii="ArialMT" w:eastAsia="Times New Roman" w:hAnsi="ArialMT" w:cs="Times New Roman"/>
          <w:color w:val="0000FF"/>
          <w:sz w:val="22"/>
          <w:szCs w:val="22"/>
          <w:lang w:eastAsia="es-ES_tradnl"/>
        </w:rPr>
        <w:t>contacto@cpsjalisco.org</w:t>
      </w:r>
      <w:r w:rsidRPr="00A8010E">
        <w:rPr>
          <w:rFonts w:ascii="ArialMT" w:eastAsia="Times New Roman" w:hAnsi="ArialMT" w:cs="Times New Roman"/>
          <w:sz w:val="22"/>
          <w:szCs w:val="22"/>
          <w:lang w:eastAsia="es-ES_tradnl"/>
        </w:rPr>
        <w:t xml:space="preserve">. </w:t>
      </w:r>
    </w:p>
    <w:p w14:paraId="1EF79868"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 w:eastAsia="Times New Roman" w:hAnsi="Arial" w:cs="Arial"/>
          <w:b/>
          <w:bCs/>
          <w:sz w:val="22"/>
          <w:szCs w:val="22"/>
          <w:lang w:eastAsia="es-ES_tradnl"/>
        </w:rPr>
        <w:t xml:space="preserve">I. Viandas Gourmet. </w:t>
      </w:r>
    </w:p>
    <w:p w14:paraId="1B9E9484"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Luego de una semana de asumir el cargo como titular de la Contraloría de un Organismo Constitucional Autónomo del Estado de Jalisco, apareció en los principales medios de comunicación una nota periodística que desarrolla la cronología de un presunto hecho de corrupción en el ente público. De acuerdo a la información periodística, se señala al responsable de la unidad centralizada de compras de coludirse con un proveedor que resultó adjudicado denominado “Servicios Integrales de Alimentos. Viandas Gourmet, S.A. de C.V.” </w:t>
      </w:r>
    </w:p>
    <w:p w14:paraId="2DB4516A"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Con imágenes de documentos facilitados por un ex servidor público, quien estaba adscrito a la Coordinación de Servicios Generales, los medios de comunicación y redes sociales relataron que el día 30 de enero de 2020 el ente público adjudicó un contrato a favor de la empresa mencionada. El contrato fue por la cantidad de $3,000,000 (tres millones de pesos) más el impuesto al valor agregado con el objeto de que realizara el servicio de comedor a empleados del ente público por el periodo de un año. </w:t>
      </w:r>
    </w:p>
    <w:p w14:paraId="79A41197"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Presuntamente la adjudicación fue a cambio de la entrega del 10% del total de la contraprestación establecida en el contrato. Como parte de la información se muestra una imagen en la que aparentemente se ve a ambos, al servidor público aludido y al particular dueño de la empresa, sentados y charlando en la mesa de un restaurante en un lujoso hotel de la costa jalisciense con motivo del año nuevo 2020. </w:t>
      </w:r>
    </w:p>
    <w:p w14:paraId="2643D601"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Al revisar las declaraciones patrimoniales y de intereses de dicho servidor público, te das cuenta que éste ha venido declarando no tener conflicto de interés alguno, por lo que acudes con el Coordinador de Administración y Finanzas a fin de revisar el expediente </w:t>
      </w:r>
    </w:p>
    <w:p w14:paraId="1375997E" w14:textId="4D5402E5" w:rsidR="00A8010E" w:rsidRPr="00A8010E" w:rsidRDefault="00A8010E" w:rsidP="00A8010E">
      <w:pPr>
        <w:jc w:val="both"/>
        <w:rPr>
          <w:rFonts w:ascii="Times New Roman" w:eastAsia="Times New Roman" w:hAnsi="Times New Roman" w:cs="Times New Roman"/>
          <w:lang w:eastAsia="es-ES_tradnl"/>
        </w:rPr>
      </w:pP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"C:\\var\\folders\\bl\\9tzfcjn914n7bhztw8gwtxf80000gn\\T\\com.microsoft.Word\\WebArchiveCopyPasteTempFiles\\page1image16553664"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357515D2" wp14:editId="66A0AD7A">
            <wp:extent cx="5400040" cy="683895"/>
            <wp:effectExtent l="0" t="0" r="0" b="1905"/>
            <wp:docPr id="7" name="Imagen 7" descr="page1image1655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6553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83895"/>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p>
    <w:p w14:paraId="218E21EF" w14:textId="38B76883" w:rsidR="00A8010E" w:rsidRPr="00A8010E" w:rsidRDefault="00A8010E" w:rsidP="00A8010E">
      <w:pPr>
        <w:jc w:val="both"/>
        <w:rPr>
          <w:rFonts w:ascii="Times New Roman" w:eastAsia="Times New Roman" w:hAnsi="Times New Roman" w:cs="Times New Roman"/>
          <w:lang w:eastAsia="es-ES_tradnl"/>
        </w:rPr>
      </w:pPr>
      <w:r w:rsidRPr="00A8010E">
        <w:rPr>
          <w:rFonts w:ascii="Times New Roman" w:eastAsia="Times New Roman" w:hAnsi="Times New Roman" w:cs="Times New Roman"/>
          <w:lang w:eastAsia="es-ES_tradnl"/>
        </w:rPr>
        <w:lastRenderedPageBreak/>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"C:\\var\\folders\\bl\\9tzfcjn914n7bhztw8gwtxf80000gn\\T\\com.microsoft.Word\\WebArchiveCopyPasteTempFiles\\page2image16555120"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67D2F00E" wp14:editId="50B315BB">
            <wp:extent cx="4211955" cy="593090"/>
            <wp:effectExtent l="0" t="0" r="0" b="3810"/>
            <wp:docPr id="6" name="Imagen 6" descr="page2image1655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6555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1955" cy="593090"/>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"C:\\var\\folders\\bl\\9tzfcjn914n7bhztw8gwtxf80000gn\\T\\com.microsoft.Word\\WebArchiveCopyPasteTempFiles\\page2image16548880"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22502FF7" wp14:editId="5D8488A1">
            <wp:extent cx="2821305" cy="38735"/>
            <wp:effectExtent l="0" t="0" r="0" b="0"/>
            <wp:docPr id="5" name="Imagen 5" descr="page2image1654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6548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305" cy="38735"/>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p>
    <w:p w14:paraId="64B89946"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laboral del trabajador, en el que se encuentra con un currículum en el que éste asentó haber laborado años atrás como ejecutivo de ventas en la empresa “Tragones pero finos, S.A. de C.V.”. En la misma declaración indica que su hermana es parte de la sociedad de la empresa. </w:t>
      </w:r>
    </w:p>
    <w:p w14:paraId="18DD0F43"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Al revisar la documentación que obra en los archivos de la Contraloría con motivo del acto de entrega – recepción, te encuentras con información y convocatorias acerca de las sesiones del Comité de Adquisiciones, entre las que está la de una licitación para servicio de alimentos mediante un comedor para empleados, junto con una “memoria usb” que contiene escaneada toda la información que se fue recabando durante el proceso, como la requisición, el estudio de mercado, las bases y convocatoria, así como la documentación proporcionada en el acto de presentación y apertura de propuestas técnicas y económicas por los siete licitantes que participaron, así como el fallo y el acta de la sesión con las firmas de quienes intervinieron. </w:t>
      </w:r>
    </w:p>
    <w:p w14:paraId="739F4857" w14:textId="77777777" w:rsidR="00A8010E" w:rsidRPr="00A8010E" w:rsidRDefault="00A8010E" w:rsidP="00A8010E">
      <w:pPr>
        <w:spacing w:before="100" w:beforeAutospacing="1" w:after="100" w:afterAutospacing="1"/>
        <w:jc w:val="both"/>
        <w:rPr>
          <w:rFonts w:ascii="Times New Roman" w:eastAsia="Times New Roman" w:hAnsi="Times New Roman" w:cs="Times New Roman"/>
          <w:lang w:eastAsia="es-ES_tradnl"/>
        </w:rPr>
      </w:pPr>
      <w:r w:rsidRPr="00A8010E">
        <w:rPr>
          <w:rFonts w:ascii="ArialMT" w:eastAsia="Times New Roman" w:hAnsi="ArialMT" w:cs="Times New Roman"/>
          <w:sz w:val="22"/>
          <w:szCs w:val="22"/>
          <w:lang w:eastAsia="es-ES_tradnl"/>
        </w:rPr>
        <w:t xml:space="preserve">Al revisar el poder notariado con el que se presentó el apoderado legal del proveedor adjudicado, se advierte que entre sus antecedentes existe un cambio relativamente reciente (hace dos años) en su denominación social, la cual anteriormente era “Tragones pero finos, S.A. de C.V.” Por otra parte, al revisar el estudio de mercado y sus cotizaciones, adviertes que efectivamente el precio pagado se encuentra por arriba del promedio, pero dentro del techo autorizado en la partida correspondiente del Presupuesto de Egresos autorizado para ese año. La noticia que apareció en los principales medios de comunicación del Estado hace señalamientos alusivos a que: </w:t>
      </w:r>
    </w:p>
    <w:p w14:paraId="40A72AFD" w14:textId="77777777" w:rsidR="00A8010E" w:rsidRPr="00A8010E" w:rsidRDefault="00A8010E" w:rsidP="00A8010E">
      <w:pPr>
        <w:numPr>
          <w:ilvl w:val="0"/>
          <w:numId w:val="1"/>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Al parecer no se acreditó la correcta prestación del servicio contratado, ya que no se mostró evidencia de la entrega diaria del número de menús correspondientes. Esto tomando en cuenta la asistencia restringida del personal debido a la pandemia de COVID-19. </w:t>
      </w:r>
    </w:p>
    <w:p w14:paraId="68290FA3" w14:textId="77777777" w:rsidR="00A8010E" w:rsidRPr="00A8010E" w:rsidRDefault="00A8010E" w:rsidP="00A8010E">
      <w:pPr>
        <w:numPr>
          <w:ilvl w:val="0"/>
          <w:numId w:val="1"/>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Durante el proceso de compra no existieron testigos sociales. </w:t>
      </w:r>
    </w:p>
    <w:p w14:paraId="0A49D75B" w14:textId="77777777" w:rsidR="00A8010E" w:rsidRPr="00A8010E" w:rsidRDefault="00A8010E" w:rsidP="00A8010E">
      <w:pPr>
        <w:numPr>
          <w:ilvl w:val="0"/>
          <w:numId w:val="1"/>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El precio promedio en 2021 del servicio diario de servicio de alimentos como el </w:t>
      </w:r>
    </w:p>
    <w:p w14:paraId="4DD76A31" w14:textId="77777777" w:rsidR="00A8010E" w:rsidRPr="00A8010E" w:rsidRDefault="00A8010E" w:rsidP="00A8010E">
      <w:pPr>
        <w:spacing w:before="100" w:beforeAutospacing="1" w:after="100" w:afterAutospacing="1"/>
        <w:ind w:left="720"/>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contratado es 20% menor que el cobrado a la empresa adjudicada, según diversas </w:t>
      </w:r>
    </w:p>
    <w:p w14:paraId="5C11B31D" w14:textId="77777777" w:rsidR="00A8010E" w:rsidRPr="00A8010E" w:rsidRDefault="00A8010E" w:rsidP="00A8010E">
      <w:pPr>
        <w:spacing w:before="100" w:beforeAutospacing="1" w:after="100" w:afterAutospacing="1"/>
        <w:ind w:left="720"/>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cotizaciones. </w:t>
      </w:r>
    </w:p>
    <w:p w14:paraId="2E114D28" w14:textId="77777777" w:rsidR="00A8010E" w:rsidRPr="00A8010E" w:rsidRDefault="00A8010E" w:rsidP="00A8010E">
      <w:pPr>
        <w:numPr>
          <w:ilvl w:val="0"/>
          <w:numId w:val="1"/>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No se solicitó fianza a la empresa proveedora. </w:t>
      </w:r>
    </w:p>
    <w:p w14:paraId="68C9C767" w14:textId="77777777" w:rsidR="00A8010E" w:rsidRPr="00A8010E" w:rsidRDefault="00A8010E" w:rsidP="00A8010E">
      <w:pPr>
        <w:numPr>
          <w:ilvl w:val="0"/>
          <w:numId w:val="1"/>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La empresa ganadora no estaba registrada en el padrón de proveedores. </w:t>
      </w:r>
    </w:p>
    <w:p w14:paraId="1FF3AC63" w14:textId="77777777" w:rsidR="00A8010E" w:rsidRPr="00A8010E" w:rsidRDefault="00A8010E" w:rsidP="00A8010E">
      <w:pPr>
        <w:spacing w:before="100" w:beforeAutospacing="1" w:after="100" w:afterAutospacing="1"/>
        <w:ind w:left="720"/>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Finalmente, de la revisión a los estados financieros del ente público, se advierte que dicha adquisición se encuentra registrada dentro de las cuentas contables del gasto, como pagada. </w:t>
      </w:r>
    </w:p>
    <w:p w14:paraId="62291001" w14:textId="2E32D49E" w:rsidR="00A8010E" w:rsidRPr="00A8010E" w:rsidRDefault="00A8010E" w:rsidP="00A8010E">
      <w:pPr>
        <w:jc w:val="both"/>
        <w:rPr>
          <w:rFonts w:ascii="Times New Roman" w:eastAsia="Times New Roman" w:hAnsi="Times New Roman" w:cs="Times New Roman"/>
          <w:lang w:eastAsia="es-ES_tradnl"/>
        </w:rPr>
      </w:pP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"C:\\var\\folders\\bl\\9tzfcjn914n7bhztw8gwtxf80000gn\\T\\com.microsoft.Word\\WebArchiveCopyPasteTempFiles\\page2image16550544"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794CD943" wp14:editId="4A86D7B3">
            <wp:extent cx="5400040" cy="683895"/>
            <wp:effectExtent l="0" t="0" r="0" b="1905"/>
            <wp:docPr id="4" name="Imagen 4" descr="page2image1655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6550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83895"/>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p>
    <w:p w14:paraId="5C57DF7C" w14:textId="072914F5" w:rsidR="00A8010E" w:rsidRPr="00A8010E" w:rsidRDefault="00A8010E" w:rsidP="00A8010E">
      <w:pPr>
        <w:jc w:val="both"/>
        <w:rPr>
          <w:rFonts w:ascii="Times New Roman" w:eastAsia="Times New Roman" w:hAnsi="Times New Roman" w:cs="Times New Roman"/>
          <w:lang w:eastAsia="es-ES_tradnl"/>
        </w:rPr>
      </w:pPr>
      <w:r w:rsidRPr="00A8010E">
        <w:rPr>
          <w:rFonts w:ascii="Times New Roman" w:eastAsia="Times New Roman" w:hAnsi="Times New Roman" w:cs="Times New Roman"/>
          <w:lang w:eastAsia="es-ES_tradnl"/>
        </w:rPr>
        <w:lastRenderedPageBreak/>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"C:\\var\\folders\\bl\\9tzfcjn914n7bhztw8gwtxf80000gn\\T\\com.microsoft.Word\\WebArchiveCopyPasteTempFiles\\page3image16564640"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1437EAEF" wp14:editId="1BAA5572">
            <wp:extent cx="4211955" cy="593090"/>
            <wp:effectExtent l="0" t="0" r="0" b="3810"/>
            <wp:docPr id="3" name="Imagen 3" descr="page3image165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6564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1955" cy="593090"/>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r w:rsidRPr="00A8010E">
        <w:rPr>
          <w:rFonts w:ascii="Times New Roman" w:eastAsia="Times New Roman" w:hAnsi="Times New Roman" w:cs="Times New Roman"/>
          <w:lang w:eastAsia="es-ES_tradnl"/>
        </w:rPr>
        <w:fldChar w:fldCharType="begin"/>
      </w:r>
      <w:r w:rsidR="00AC23B8">
        <w:rPr>
          <w:rFonts w:ascii="Times New Roman" w:eastAsia="Times New Roman" w:hAnsi="Times New Roman" w:cs="Times New Roman"/>
          <w:lang w:eastAsia="es-ES_tradnl"/>
        </w:rPr>
        <w:instrText xml:space="preserve"> INCLUDEPICTURE "C:\\var\\folders\\bl\\9tzfcjn914n7bhztw8gwtxf80000gn\\T\\com.microsoft.Word\\WebArchiveCopyPasteTempFiles\\page3image16573584" \* MERGEFORMAT </w:instrText>
      </w:r>
      <w:r w:rsidRPr="00A8010E">
        <w:rPr>
          <w:rFonts w:ascii="Times New Roman" w:eastAsia="Times New Roman" w:hAnsi="Times New Roman" w:cs="Times New Roman"/>
          <w:lang w:eastAsia="es-ES_tradnl"/>
        </w:rPr>
        <w:fldChar w:fldCharType="separate"/>
      </w:r>
      <w:r w:rsidRPr="00A8010E">
        <w:rPr>
          <w:rFonts w:ascii="Times New Roman" w:eastAsia="Times New Roman" w:hAnsi="Times New Roman" w:cs="Times New Roman"/>
          <w:noProof/>
          <w:lang w:eastAsia="es-MX"/>
        </w:rPr>
        <w:drawing>
          <wp:inline distT="0" distB="0" distL="0" distR="0" wp14:anchorId="403C9596" wp14:editId="61A74A13">
            <wp:extent cx="2821305" cy="38735"/>
            <wp:effectExtent l="0" t="0" r="0" b="0"/>
            <wp:docPr id="2" name="Imagen 2" descr="page3image1657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6573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305" cy="38735"/>
                    </a:xfrm>
                    <a:prstGeom prst="rect">
                      <a:avLst/>
                    </a:prstGeom>
                    <a:noFill/>
                    <a:ln>
                      <a:noFill/>
                    </a:ln>
                  </pic:spPr>
                </pic:pic>
              </a:graphicData>
            </a:graphic>
          </wp:inline>
        </w:drawing>
      </w:r>
      <w:r w:rsidRPr="00A8010E">
        <w:rPr>
          <w:rFonts w:ascii="Times New Roman" w:eastAsia="Times New Roman" w:hAnsi="Times New Roman" w:cs="Times New Roman"/>
          <w:lang w:eastAsia="es-ES_tradnl"/>
        </w:rPr>
        <w:fldChar w:fldCharType="end"/>
      </w:r>
    </w:p>
    <w:p w14:paraId="3225922E" w14:textId="4B1BD52C" w:rsidR="00A8010E" w:rsidRDefault="00A8010E" w:rsidP="00A8010E">
      <w:pPr>
        <w:spacing w:before="100" w:beforeAutospacing="1" w:after="100" w:afterAutospacing="1"/>
        <w:jc w:val="both"/>
        <w:rPr>
          <w:rFonts w:ascii="Arial" w:eastAsia="Times New Roman" w:hAnsi="Arial" w:cs="Arial"/>
          <w:b/>
          <w:bCs/>
          <w:sz w:val="22"/>
          <w:szCs w:val="22"/>
          <w:lang w:eastAsia="es-ES_tradnl"/>
        </w:rPr>
      </w:pPr>
      <w:r w:rsidRPr="00A8010E">
        <w:rPr>
          <w:rFonts w:ascii="Arial" w:eastAsia="Times New Roman" w:hAnsi="Arial" w:cs="Arial"/>
          <w:b/>
          <w:bCs/>
          <w:sz w:val="22"/>
          <w:szCs w:val="22"/>
          <w:lang w:eastAsia="es-ES_tradnl"/>
        </w:rPr>
        <w:t xml:space="preserve">II. Responde a las siguientes preguntas de manera amplia, con la motivación y el fundamento que corresponda en su rol de titular del Órgano Interno de Control de un Organismo Constitucional Autónomo. </w:t>
      </w:r>
    </w:p>
    <w:p w14:paraId="05CDC50A" w14:textId="77777777" w:rsidR="007B6544" w:rsidRPr="00A8010E" w:rsidRDefault="007B6544" w:rsidP="00A8010E">
      <w:pPr>
        <w:spacing w:before="100" w:beforeAutospacing="1" w:after="100" w:afterAutospacing="1"/>
        <w:jc w:val="both"/>
        <w:rPr>
          <w:rFonts w:ascii="Times New Roman" w:eastAsia="Times New Roman" w:hAnsi="Times New Roman" w:cs="Times New Roman"/>
          <w:lang w:eastAsia="es-ES_tradnl"/>
        </w:rPr>
      </w:pPr>
    </w:p>
    <w:p w14:paraId="6665CB65" w14:textId="77777777" w:rsidR="00A8010E" w:rsidRPr="00A8010E" w:rsidRDefault="00A8010E" w:rsidP="00A8010E">
      <w:pPr>
        <w:numPr>
          <w:ilvl w:val="0"/>
          <w:numId w:val="2"/>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En cuanto al procedimiento de contratación pública. </w:t>
      </w:r>
    </w:p>
    <w:p w14:paraId="6A38D5FA" w14:textId="7FD3E96C" w:rsidR="00A8010E" w:rsidRDefault="00A8010E" w:rsidP="00230CB2">
      <w:pPr>
        <w:spacing w:before="100" w:beforeAutospacing="1" w:after="100" w:afterAutospacing="1"/>
        <w:ind w:left="1440"/>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1.1.  Describe a detalle que observa en el caso (la teoría del caso) y las presuntas irregularidades que advierta dentro del procedimiento de contratación y prestación del servicio. </w:t>
      </w:r>
    </w:p>
    <w:p w14:paraId="7FAEBEB4" w14:textId="32C2228F" w:rsidR="008F0261" w:rsidRPr="001F3EB6" w:rsidRDefault="008F0261" w:rsidP="008F0261">
      <w:pPr>
        <w:spacing w:before="100" w:beforeAutospacing="1" w:after="100" w:afterAutospacing="1"/>
        <w:ind w:left="1440"/>
        <w:jc w:val="both"/>
        <w:rPr>
          <w:rFonts w:ascii="ArialMT" w:eastAsia="Times New Roman" w:hAnsi="ArialMT" w:cs="Times New Roman"/>
          <w:color w:val="FF0000"/>
          <w:sz w:val="22"/>
          <w:szCs w:val="22"/>
          <w:lang w:eastAsia="es-ES_tradnl"/>
        </w:rPr>
      </w:pPr>
      <w:r w:rsidRPr="001F3EB6">
        <w:rPr>
          <w:rFonts w:ascii="ArialMT" w:eastAsia="Times New Roman" w:hAnsi="ArialMT" w:cs="Times New Roman"/>
          <w:color w:val="FF0000"/>
          <w:sz w:val="22"/>
          <w:szCs w:val="22"/>
          <w:lang w:eastAsia="es-ES_tradnl"/>
        </w:rPr>
        <w:t>La ley aplica</w:t>
      </w:r>
      <w:r w:rsidR="00622FC3" w:rsidRPr="001F3EB6">
        <w:rPr>
          <w:rFonts w:ascii="ArialMT" w:eastAsia="Times New Roman" w:hAnsi="ArialMT" w:cs="Times New Roman"/>
          <w:color w:val="FF0000"/>
          <w:sz w:val="22"/>
          <w:szCs w:val="22"/>
          <w:lang w:eastAsia="es-ES_tradnl"/>
        </w:rPr>
        <w:t>ble</w:t>
      </w:r>
      <w:r w:rsidRPr="001F3EB6">
        <w:rPr>
          <w:rFonts w:ascii="ArialMT" w:eastAsia="Times New Roman" w:hAnsi="ArialMT" w:cs="Times New Roman"/>
          <w:color w:val="FF0000"/>
          <w:sz w:val="22"/>
          <w:szCs w:val="22"/>
          <w:lang w:eastAsia="es-ES_tradnl"/>
        </w:rPr>
        <w:t xml:space="preserve"> es la LEY DE COMPRAS GUBERNAMENTALES, ENAJENACIONES Y CONTRATACIÓN DE SERVICIOS DEL ESTADO DE JALISCO Y SUS MUNICIPIOS vigente al momento de la adjudicaci</w:t>
      </w:r>
      <w:r w:rsidR="00EE08DA">
        <w:rPr>
          <w:rFonts w:ascii="ArialMT" w:eastAsia="Times New Roman" w:hAnsi="ArialMT" w:cs="Times New Roman"/>
          <w:color w:val="FF0000"/>
          <w:sz w:val="22"/>
          <w:szCs w:val="22"/>
          <w:lang w:eastAsia="es-ES_tradnl"/>
        </w:rPr>
        <w:t>ó</w:t>
      </w:r>
      <w:r w:rsidRPr="001F3EB6">
        <w:rPr>
          <w:rFonts w:ascii="ArialMT" w:eastAsia="Times New Roman" w:hAnsi="ArialMT" w:cs="Times New Roman"/>
          <w:color w:val="FF0000"/>
          <w:sz w:val="22"/>
          <w:szCs w:val="22"/>
          <w:lang w:eastAsia="es-ES_tradnl"/>
        </w:rPr>
        <w:t>n</w:t>
      </w:r>
      <w:r w:rsidR="00EE08DA">
        <w:rPr>
          <w:rFonts w:ascii="ArialMT" w:eastAsia="Times New Roman" w:hAnsi="ArialMT" w:cs="Times New Roman"/>
          <w:color w:val="FF0000"/>
          <w:sz w:val="22"/>
          <w:szCs w:val="22"/>
          <w:lang w:eastAsia="es-ES_tradnl"/>
        </w:rPr>
        <w:t>,</w:t>
      </w:r>
      <w:r w:rsidRPr="001F3EB6">
        <w:rPr>
          <w:rFonts w:ascii="ArialMT" w:eastAsia="Times New Roman" w:hAnsi="ArialMT" w:cs="Times New Roman"/>
          <w:color w:val="FF0000"/>
          <w:sz w:val="22"/>
          <w:szCs w:val="22"/>
          <w:lang w:eastAsia="es-ES_tradnl"/>
        </w:rPr>
        <w:t xml:space="preserve"> por lo tanto no es aplicable la reforma 2.0 publicada el d</w:t>
      </w:r>
      <w:r w:rsidR="00EE08DA">
        <w:rPr>
          <w:rFonts w:ascii="ArialMT" w:eastAsia="Times New Roman" w:hAnsi="ArialMT" w:cs="Times New Roman"/>
          <w:color w:val="FF0000"/>
          <w:sz w:val="22"/>
          <w:szCs w:val="22"/>
          <w:lang w:eastAsia="es-ES_tradnl"/>
        </w:rPr>
        <w:t>í</w:t>
      </w:r>
      <w:r w:rsidRPr="001F3EB6">
        <w:rPr>
          <w:rFonts w:ascii="ArialMT" w:eastAsia="Times New Roman" w:hAnsi="ArialMT" w:cs="Times New Roman"/>
          <w:color w:val="FF0000"/>
          <w:sz w:val="22"/>
          <w:szCs w:val="22"/>
          <w:lang w:eastAsia="es-ES_tradnl"/>
        </w:rPr>
        <w:t>a 9 de Septiembre del 2021</w:t>
      </w:r>
      <w:r w:rsidR="00EC6C41">
        <w:rPr>
          <w:rFonts w:ascii="ArialMT" w:eastAsia="Times New Roman" w:hAnsi="ArialMT" w:cs="Times New Roman"/>
          <w:color w:val="FF0000"/>
          <w:sz w:val="22"/>
          <w:szCs w:val="22"/>
          <w:lang w:eastAsia="es-ES_tradnl"/>
        </w:rPr>
        <w:t xml:space="preserve"> ya que no se puede aplicar de manera retroactiva la ley reformada</w:t>
      </w:r>
      <w:r w:rsidRPr="001F3EB6">
        <w:rPr>
          <w:rFonts w:ascii="ArialMT" w:eastAsia="Times New Roman" w:hAnsi="ArialMT" w:cs="Times New Roman"/>
          <w:color w:val="FF0000"/>
          <w:sz w:val="22"/>
          <w:szCs w:val="22"/>
          <w:lang w:eastAsia="es-ES_tradnl"/>
        </w:rPr>
        <w:t>.</w:t>
      </w:r>
    </w:p>
    <w:p w14:paraId="3BB2A5E4" w14:textId="77777777" w:rsidR="008F0261" w:rsidRPr="001F3EB6" w:rsidRDefault="008F0261" w:rsidP="008F0261">
      <w:pPr>
        <w:pStyle w:val="Prrafodelista"/>
        <w:ind w:left="720"/>
        <w:rPr>
          <w:rFonts w:ascii="Arial" w:eastAsia="Arial" w:hAnsi="Arial" w:cs="Arial"/>
          <w:color w:val="FF0000"/>
          <w:sz w:val="22"/>
          <w:szCs w:val="22"/>
        </w:rPr>
      </w:pPr>
    </w:p>
    <w:tbl>
      <w:tblPr>
        <w:tblStyle w:val="Tablaconcuadrcula"/>
        <w:tblW w:w="0" w:type="auto"/>
        <w:tblInd w:w="1440" w:type="dxa"/>
        <w:tblLook w:val="04A0" w:firstRow="1" w:lastRow="0" w:firstColumn="1" w:lastColumn="0" w:noHBand="0" w:noVBand="1"/>
      </w:tblPr>
      <w:tblGrid>
        <w:gridCol w:w="1836"/>
        <w:gridCol w:w="1716"/>
        <w:gridCol w:w="1786"/>
        <w:gridCol w:w="1716"/>
      </w:tblGrid>
      <w:tr w:rsidR="001F3EB6" w:rsidRPr="001F3EB6" w14:paraId="540FB0FB" w14:textId="77777777" w:rsidTr="00AC2E50">
        <w:tc>
          <w:tcPr>
            <w:tcW w:w="7388" w:type="dxa"/>
            <w:gridSpan w:val="4"/>
          </w:tcPr>
          <w:p w14:paraId="4F92F6B7" w14:textId="77777777" w:rsidR="008F0261" w:rsidRPr="001F3EB6" w:rsidRDefault="008F0261" w:rsidP="00AC2E50">
            <w:pPr>
              <w:pStyle w:val="Prrafodelista"/>
              <w:ind w:left="0"/>
              <w:jc w:val="center"/>
              <w:rPr>
                <w:rFonts w:ascii="Arial" w:eastAsia="Arial" w:hAnsi="Arial" w:cs="Arial"/>
                <w:b/>
                <w:bCs/>
                <w:color w:val="FF0000"/>
                <w:sz w:val="22"/>
                <w:szCs w:val="22"/>
                <w:lang w:val="es-MX"/>
              </w:rPr>
            </w:pPr>
            <w:bookmarkStart w:id="1" w:name="_Hlk72949878"/>
            <w:bookmarkStart w:id="2" w:name="_Hlk72950107"/>
            <w:r w:rsidRPr="001F3EB6">
              <w:rPr>
                <w:rFonts w:ascii="Arial" w:eastAsia="Arial" w:hAnsi="Arial" w:cs="Arial"/>
                <w:b/>
                <w:bCs/>
                <w:color w:val="FF0000"/>
                <w:sz w:val="22"/>
                <w:szCs w:val="22"/>
                <w:lang w:val="es-MX"/>
              </w:rPr>
              <w:t>Del proceso de Requisición por el área requirente</w:t>
            </w:r>
          </w:p>
        </w:tc>
      </w:tr>
      <w:bookmarkEnd w:id="1"/>
      <w:tr w:rsidR="001F3EB6" w:rsidRPr="001F3EB6" w14:paraId="564E4BE3" w14:textId="77777777" w:rsidTr="00AC2E50">
        <w:tc>
          <w:tcPr>
            <w:tcW w:w="1938" w:type="dxa"/>
          </w:tcPr>
          <w:p w14:paraId="7905799A"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color w:val="FF0000"/>
              </w:rPr>
              <w:t>Proceso</w:t>
            </w:r>
          </w:p>
        </w:tc>
        <w:tc>
          <w:tcPr>
            <w:tcW w:w="1797" w:type="dxa"/>
          </w:tcPr>
          <w:p w14:paraId="621702C7"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Fundamento legal Ley de compras</w:t>
            </w:r>
          </w:p>
        </w:tc>
        <w:tc>
          <w:tcPr>
            <w:tcW w:w="1856" w:type="dxa"/>
          </w:tcPr>
          <w:p w14:paraId="27D2739F"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Cumplimiento</w:t>
            </w:r>
          </w:p>
        </w:tc>
        <w:tc>
          <w:tcPr>
            <w:tcW w:w="1797" w:type="dxa"/>
          </w:tcPr>
          <w:p w14:paraId="4FAA60BE"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Irregularidad</w:t>
            </w:r>
          </w:p>
        </w:tc>
      </w:tr>
      <w:tr w:rsidR="001F3EB6" w:rsidRPr="001F3EB6" w14:paraId="55C26218" w14:textId="77777777" w:rsidTr="00AC2E50">
        <w:tc>
          <w:tcPr>
            <w:tcW w:w="1938" w:type="dxa"/>
          </w:tcPr>
          <w:p w14:paraId="14C22EC4" w14:textId="77777777" w:rsidR="008F0261" w:rsidRPr="001F3EB6" w:rsidRDefault="008F0261" w:rsidP="00AC2E50">
            <w:pPr>
              <w:pStyle w:val="Prrafodelista"/>
              <w:ind w:left="0"/>
              <w:rPr>
                <w:color w:val="FF0000"/>
              </w:rPr>
            </w:pPr>
            <w:r w:rsidRPr="001F3EB6">
              <w:rPr>
                <w:color w:val="FF0000"/>
              </w:rPr>
              <w:t>1. Investigación de mercado</w:t>
            </w:r>
          </w:p>
        </w:tc>
        <w:tc>
          <w:tcPr>
            <w:tcW w:w="1797" w:type="dxa"/>
          </w:tcPr>
          <w:p w14:paraId="7888CCDF" w14:textId="5CB48829"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13</w:t>
            </w:r>
          </w:p>
        </w:tc>
        <w:tc>
          <w:tcPr>
            <w:tcW w:w="1856" w:type="dxa"/>
          </w:tcPr>
          <w:p w14:paraId="332885A4" w14:textId="3044F26B" w:rsidR="008F0261" w:rsidRPr="001F3EB6" w:rsidRDefault="00C13FBB"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w:t>
            </w:r>
            <w:r w:rsidR="00EE08DA">
              <w:rPr>
                <w:rFonts w:ascii="Arial" w:eastAsia="Arial" w:hAnsi="Arial" w:cs="Arial"/>
                <w:color w:val="FF0000"/>
                <w:sz w:val="22"/>
                <w:szCs w:val="22"/>
                <w:lang w:val="es-MX"/>
              </w:rPr>
              <w:t>í</w:t>
            </w:r>
            <w:r w:rsidRPr="001F3EB6">
              <w:rPr>
                <w:rFonts w:ascii="Arial" w:eastAsia="Arial" w:hAnsi="Arial" w:cs="Arial"/>
                <w:color w:val="FF0000"/>
                <w:sz w:val="22"/>
                <w:szCs w:val="22"/>
                <w:lang w:val="es-MX"/>
              </w:rPr>
              <w:t xml:space="preserve"> lo refiere</w:t>
            </w:r>
          </w:p>
        </w:tc>
        <w:tc>
          <w:tcPr>
            <w:tcW w:w="1797" w:type="dxa"/>
          </w:tcPr>
          <w:p w14:paraId="349BBD85" w14:textId="338CA8F7" w:rsidR="008F0261" w:rsidRPr="001F3EB6" w:rsidRDefault="008F0261" w:rsidP="00AC2E50">
            <w:pPr>
              <w:pStyle w:val="Prrafodelista"/>
              <w:ind w:left="0"/>
              <w:rPr>
                <w:rFonts w:ascii="Arial" w:eastAsia="Arial" w:hAnsi="Arial" w:cs="Arial"/>
                <w:color w:val="FF0000"/>
                <w:sz w:val="22"/>
                <w:szCs w:val="22"/>
                <w:lang w:val="es-MX"/>
              </w:rPr>
            </w:pPr>
          </w:p>
        </w:tc>
      </w:tr>
      <w:bookmarkEnd w:id="2"/>
    </w:tbl>
    <w:p w14:paraId="1D3A1733" w14:textId="77777777" w:rsidR="008F0261" w:rsidRPr="001F3EB6" w:rsidRDefault="008F0261" w:rsidP="008F0261">
      <w:pPr>
        <w:pStyle w:val="Prrafodelista"/>
        <w:ind w:left="720"/>
        <w:rPr>
          <w:rFonts w:ascii="Arial" w:eastAsia="Arial" w:hAnsi="Arial" w:cs="Arial"/>
          <w:color w:val="FF0000"/>
          <w:sz w:val="22"/>
          <w:szCs w:val="22"/>
        </w:rPr>
      </w:pPr>
    </w:p>
    <w:tbl>
      <w:tblPr>
        <w:tblStyle w:val="Tablaconcuadrcula"/>
        <w:tblW w:w="0" w:type="auto"/>
        <w:tblInd w:w="1440" w:type="dxa"/>
        <w:tblLook w:val="04A0" w:firstRow="1" w:lastRow="0" w:firstColumn="1" w:lastColumn="0" w:noHBand="0" w:noVBand="1"/>
      </w:tblPr>
      <w:tblGrid>
        <w:gridCol w:w="1875"/>
        <w:gridCol w:w="1702"/>
        <w:gridCol w:w="1775"/>
        <w:gridCol w:w="1702"/>
      </w:tblGrid>
      <w:tr w:rsidR="001F3EB6" w:rsidRPr="001F3EB6" w14:paraId="786DB89F" w14:textId="77777777" w:rsidTr="00AC2E50">
        <w:tc>
          <w:tcPr>
            <w:tcW w:w="7388" w:type="dxa"/>
            <w:gridSpan w:val="4"/>
          </w:tcPr>
          <w:p w14:paraId="5898C941" w14:textId="77777777" w:rsidR="008F0261" w:rsidRPr="001F3EB6" w:rsidRDefault="008F0261"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b/>
                <w:bCs/>
                <w:color w:val="FF0000"/>
                <w:sz w:val="22"/>
                <w:szCs w:val="22"/>
                <w:lang w:val="es-MX"/>
              </w:rPr>
              <w:t>Del proceso de Contratación</w:t>
            </w:r>
            <w:r w:rsidRPr="001F3EB6">
              <w:rPr>
                <w:rFonts w:ascii="Arial" w:eastAsia="Arial" w:hAnsi="Arial" w:cs="Arial"/>
                <w:color w:val="FF0000"/>
                <w:sz w:val="22"/>
                <w:szCs w:val="22"/>
                <w:lang w:val="es-MX"/>
              </w:rPr>
              <w:t>.</w:t>
            </w:r>
          </w:p>
        </w:tc>
      </w:tr>
      <w:tr w:rsidR="001F3EB6" w:rsidRPr="001F3EB6" w14:paraId="015DE1A0" w14:textId="77777777" w:rsidTr="00AC2E50">
        <w:tc>
          <w:tcPr>
            <w:tcW w:w="1938" w:type="dxa"/>
          </w:tcPr>
          <w:p w14:paraId="2450AF30"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color w:val="FF0000"/>
              </w:rPr>
              <w:t>Proceso</w:t>
            </w:r>
          </w:p>
        </w:tc>
        <w:tc>
          <w:tcPr>
            <w:tcW w:w="1797" w:type="dxa"/>
          </w:tcPr>
          <w:p w14:paraId="465D8EFE"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Fundamento legal Ley de compras</w:t>
            </w:r>
          </w:p>
        </w:tc>
        <w:tc>
          <w:tcPr>
            <w:tcW w:w="1856" w:type="dxa"/>
          </w:tcPr>
          <w:p w14:paraId="0E4375DA"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Cumplimiento</w:t>
            </w:r>
          </w:p>
        </w:tc>
        <w:tc>
          <w:tcPr>
            <w:tcW w:w="1797" w:type="dxa"/>
          </w:tcPr>
          <w:p w14:paraId="4D0CDBED"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Irregularidad</w:t>
            </w:r>
          </w:p>
        </w:tc>
      </w:tr>
      <w:tr w:rsidR="001F3EB6" w:rsidRPr="001F3EB6" w14:paraId="01579681" w14:textId="77777777" w:rsidTr="00AC2E50">
        <w:tc>
          <w:tcPr>
            <w:tcW w:w="1938" w:type="dxa"/>
          </w:tcPr>
          <w:p w14:paraId="09A57864" w14:textId="77777777" w:rsidR="008F0261" w:rsidRPr="001F3EB6" w:rsidRDefault="008F0261" w:rsidP="00AC2E50">
            <w:pPr>
              <w:pStyle w:val="Prrafodelista"/>
              <w:ind w:left="0"/>
              <w:rPr>
                <w:color w:val="FF0000"/>
              </w:rPr>
            </w:pPr>
            <w:r w:rsidRPr="001F3EB6">
              <w:rPr>
                <w:color w:val="FF0000"/>
              </w:rPr>
              <w:t>1. Contenido y elaboración de las bases</w:t>
            </w:r>
          </w:p>
        </w:tc>
        <w:tc>
          <w:tcPr>
            <w:tcW w:w="1797" w:type="dxa"/>
          </w:tcPr>
          <w:p w14:paraId="2C084FD3" w14:textId="6014B302"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59</w:t>
            </w:r>
          </w:p>
        </w:tc>
        <w:tc>
          <w:tcPr>
            <w:tcW w:w="1856" w:type="dxa"/>
          </w:tcPr>
          <w:p w14:paraId="55EB192C"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Si las refiere</w:t>
            </w:r>
          </w:p>
        </w:tc>
        <w:tc>
          <w:tcPr>
            <w:tcW w:w="1797" w:type="dxa"/>
          </w:tcPr>
          <w:p w14:paraId="37318211" w14:textId="77777777" w:rsidR="008F0261" w:rsidRPr="001F3EB6" w:rsidRDefault="008F0261" w:rsidP="00AC2E50">
            <w:pPr>
              <w:pStyle w:val="Prrafodelista"/>
              <w:ind w:left="0"/>
              <w:rPr>
                <w:rFonts w:ascii="Arial" w:eastAsia="Arial" w:hAnsi="Arial" w:cs="Arial"/>
                <w:color w:val="FF0000"/>
                <w:sz w:val="22"/>
                <w:szCs w:val="22"/>
                <w:lang w:val="es-MX"/>
              </w:rPr>
            </w:pPr>
          </w:p>
        </w:tc>
      </w:tr>
      <w:tr w:rsidR="001F3EB6" w:rsidRPr="001F3EB6" w14:paraId="7034C5BD" w14:textId="77777777" w:rsidTr="00AC2E50">
        <w:tc>
          <w:tcPr>
            <w:tcW w:w="1938" w:type="dxa"/>
          </w:tcPr>
          <w:p w14:paraId="18357B8D" w14:textId="77777777" w:rsidR="008F0261" w:rsidRPr="001F3EB6" w:rsidRDefault="008F0261" w:rsidP="00AC2E50">
            <w:pPr>
              <w:pStyle w:val="Prrafodelista"/>
              <w:ind w:left="0"/>
              <w:rPr>
                <w:color w:val="FF0000"/>
              </w:rPr>
            </w:pPr>
            <w:r w:rsidRPr="001F3EB6">
              <w:rPr>
                <w:color w:val="FF0000"/>
              </w:rPr>
              <w:t>2. Publicación de las convocatorias a través del portal de internet</w:t>
            </w:r>
          </w:p>
        </w:tc>
        <w:tc>
          <w:tcPr>
            <w:tcW w:w="1797" w:type="dxa"/>
          </w:tcPr>
          <w:p w14:paraId="56D19BE6"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 60</w:t>
            </w:r>
          </w:p>
        </w:tc>
        <w:tc>
          <w:tcPr>
            <w:tcW w:w="1856" w:type="dxa"/>
          </w:tcPr>
          <w:p w14:paraId="4256BD6E"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14ADF24A"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No las refiere</w:t>
            </w:r>
          </w:p>
        </w:tc>
      </w:tr>
      <w:tr w:rsidR="001F3EB6" w:rsidRPr="001F3EB6" w14:paraId="0867C0E1" w14:textId="77777777" w:rsidTr="00AC2E50">
        <w:tc>
          <w:tcPr>
            <w:tcW w:w="1938" w:type="dxa"/>
          </w:tcPr>
          <w:p w14:paraId="3392E117" w14:textId="77777777" w:rsidR="008F0261" w:rsidRPr="001F3EB6" w:rsidRDefault="008F0261" w:rsidP="00AC2E50">
            <w:pPr>
              <w:pStyle w:val="Prrafodelista"/>
              <w:ind w:left="0"/>
              <w:rPr>
                <w:color w:val="FF0000"/>
              </w:rPr>
            </w:pPr>
            <w:r w:rsidRPr="001F3EB6">
              <w:rPr>
                <w:color w:val="FF0000"/>
              </w:rPr>
              <w:t>3. Plazo para la presentación y apertura de las proposiciones (10 días naturales)</w:t>
            </w:r>
          </w:p>
        </w:tc>
        <w:tc>
          <w:tcPr>
            <w:tcW w:w="1797" w:type="dxa"/>
          </w:tcPr>
          <w:p w14:paraId="24D20BE5" w14:textId="1524402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61</w:t>
            </w:r>
          </w:p>
        </w:tc>
        <w:tc>
          <w:tcPr>
            <w:tcW w:w="1856" w:type="dxa"/>
          </w:tcPr>
          <w:p w14:paraId="291F102F" w14:textId="6FA37C96"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w:t>
            </w:r>
            <w:r w:rsidR="00EE08DA">
              <w:rPr>
                <w:rFonts w:ascii="Arial" w:eastAsia="Arial" w:hAnsi="Arial" w:cs="Arial"/>
                <w:color w:val="FF0000"/>
                <w:sz w:val="22"/>
                <w:szCs w:val="22"/>
                <w:lang w:val="es-MX"/>
              </w:rPr>
              <w:t>í</w:t>
            </w:r>
            <w:r w:rsidRPr="001F3EB6">
              <w:rPr>
                <w:rFonts w:ascii="Arial" w:eastAsia="Arial" w:hAnsi="Arial" w:cs="Arial"/>
                <w:color w:val="FF0000"/>
                <w:sz w:val="22"/>
                <w:szCs w:val="22"/>
                <w:lang w:val="es-MX"/>
              </w:rPr>
              <w:t xml:space="preserve"> las refiere</w:t>
            </w:r>
          </w:p>
        </w:tc>
        <w:tc>
          <w:tcPr>
            <w:tcW w:w="1797" w:type="dxa"/>
          </w:tcPr>
          <w:p w14:paraId="27BC9333" w14:textId="77777777" w:rsidR="008F0261" w:rsidRPr="001F3EB6" w:rsidRDefault="008F0261" w:rsidP="00AC2E50">
            <w:pPr>
              <w:pStyle w:val="Prrafodelista"/>
              <w:ind w:left="0"/>
              <w:rPr>
                <w:rFonts w:ascii="Arial" w:eastAsia="Arial" w:hAnsi="Arial" w:cs="Arial"/>
                <w:color w:val="FF0000"/>
                <w:sz w:val="22"/>
                <w:szCs w:val="22"/>
                <w:lang w:val="es-MX"/>
              </w:rPr>
            </w:pPr>
          </w:p>
        </w:tc>
      </w:tr>
      <w:tr w:rsidR="001F3EB6" w:rsidRPr="001F3EB6" w14:paraId="7B570D97" w14:textId="77777777" w:rsidTr="00AC2E50">
        <w:tc>
          <w:tcPr>
            <w:tcW w:w="1938" w:type="dxa"/>
          </w:tcPr>
          <w:p w14:paraId="0F5F37CE" w14:textId="77777777" w:rsidR="008F0261" w:rsidRPr="001F3EB6" w:rsidRDefault="008F0261" w:rsidP="00AC2E50">
            <w:pPr>
              <w:pStyle w:val="Prrafodelista"/>
              <w:ind w:left="0"/>
              <w:rPr>
                <w:color w:val="FF0000"/>
              </w:rPr>
            </w:pPr>
            <w:r w:rsidRPr="001F3EB6">
              <w:rPr>
                <w:color w:val="FF0000"/>
              </w:rPr>
              <w:t xml:space="preserve">4. Modificaciones </w:t>
            </w:r>
            <w:r w:rsidRPr="001F3EB6">
              <w:rPr>
                <w:color w:val="FF0000"/>
              </w:rPr>
              <w:lastRenderedPageBreak/>
              <w:t>de la convocatoria</w:t>
            </w:r>
          </w:p>
        </w:tc>
        <w:tc>
          <w:tcPr>
            <w:tcW w:w="1797" w:type="dxa"/>
          </w:tcPr>
          <w:p w14:paraId="52EC98ED" w14:textId="6DEF710A"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lastRenderedPageBreak/>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62</w:t>
            </w:r>
          </w:p>
        </w:tc>
        <w:tc>
          <w:tcPr>
            <w:tcW w:w="1856" w:type="dxa"/>
          </w:tcPr>
          <w:p w14:paraId="59B393B0"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5935ADBD" w14:textId="77777777" w:rsidR="008F0261" w:rsidRPr="001F3EB6" w:rsidRDefault="008F0261"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color w:val="FF0000"/>
                <w:sz w:val="22"/>
                <w:szCs w:val="22"/>
                <w:lang w:val="es-MX"/>
              </w:rPr>
              <w:t>No refiere</w:t>
            </w:r>
          </w:p>
        </w:tc>
      </w:tr>
      <w:tr w:rsidR="001F3EB6" w:rsidRPr="001F3EB6" w14:paraId="43B2E6CE" w14:textId="77777777" w:rsidTr="00AC2E50">
        <w:tc>
          <w:tcPr>
            <w:tcW w:w="1938" w:type="dxa"/>
          </w:tcPr>
          <w:p w14:paraId="55B14334" w14:textId="77777777" w:rsidR="008F0261" w:rsidRPr="001F3EB6" w:rsidRDefault="008F0261" w:rsidP="00AC2E50">
            <w:pPr>
              <w:pStyle w:val="Prrafodelista"/>
              <w:ind w:left="0"/>
              <w:rPr>
                <w:color w:val="FF0000"/>
              </w:rPr>
            </w:pPr>
            <w:r w:rsidRPr="001F3EB6">
              <w:rPr>
                <w:color w:val="FF0000"/>
              </w:rPr>
              <w:lastRenderedPageBreak/>
              <w:t>5. Junta de aclaraciones</w:t>
            </w:r>
          </w:p>
        </w:tc>
        <w:tc>
          <w:tcPr>
            <w:tcW w:w="1797" w:type="dxa"/>
          </w:tcPr>
          <w:p w14:paraId="0C6C0AB8" w14:textId="15D071DD"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63</w:t>
            </w:r>
          </w:p>
        </w:tc>
        <w:tc>
          <w:tcPr>
            <w:tcW w:w="1856" w:type="dxa"/>
          </w:tcPr>
          <w:p w14:paraId="27E3ECBE"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6DFDFBD4" w14:textId="77777777" w:rsidR="008F0261" w:rsidRPr="001F3EB6" w:rsidRDefault="008F0261"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color w:val="FF0000"/>
                <w:sz w:val="22"/>
                <w:szCs w:val="22"/>
                <w:lang w:val="es-MX"/>
              </w:rPr>
              <w:t>No refiere</w:t>
            </w:r>
          </w:p>
        </w:tc>
      </w:tr>
      <w:tr w:rsidR="001F3EB6" w:rsidRPr="001F3EB6" w14:paraId="0BF06499" w14:textId="77777777" w:rsidTr="00AC2E50">
        <w:tc>
          <w:tcPr>
            <w:tcW w:w="1938" w:type="dxa"/>
          </w:tcPr>
          <w:p w14:paraId="414D512A" w14:textId="77777777" w:rsidR="008F0261" w:rsidRPr="001F3EB6" w:rsidRDefault="008F0261" w:rsidP="00AC2E50">
            <w:pPr>
              <w:pStyle w:val="Prrafodelista"/>
              <w:ind w:left="0"/>
              <w:rPr>
                <w:color w:val="FF0000"/>
              </w:rPr>
            </w:pPr>
            <w:r w:rsidRPr="001F3EB6">
              <w:rPr>
                <w:color w:val="FF0000"/>
              </w:rPr>
              <w:t>6. Entrega de proposiciones oferta técnica y económica</w:t>
            </w:r>
          </w:p>
        </w:tc>
        <w:tc>
          <w:tcPr>
            <w:tcW w:w="1797" w:type="dxa"/>
          </w:tcPr>
          <w:p w14:paraId="4E2F9A6A" w14:textId="78ACEE0B"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64</w:t>
            </w:r>
          </w:p>
        </w:tc>
        <w:tc>
          <w:tcPr>
            <w:tcW w:w="1856" w:type="dxa"/>
          </w:tcPr>
          <w:p w14:paraId="1343AC67" w14:textId="59AF13F4"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w:t>
            </w:r>
            <w:r w:rsidR="00EE08DA">
              <w:rPr>
                <w:rFonts w:ascii="Arial" w:eastAsia="Arial" w:hAnsi="Arial" w:cs="Arial"/>
                <w:color w:val="FF0000"/>
                <w:sz w:val="22"/>
                <w:szCs w:val="22"/>
                <w:lang w:val="es-MX"/>
              </w:rPr>
              <w:t>í</w:t>
            </w:r>
            <w:r w:rsidRPr="001F3EB6">
              <w:rPr>
                <w:rFonts w:ascii="Arial" w:eastAsia="Arial" w:hAnsi="Arial" w:cs="Arial"/>
                <w:color w:val="FF0000"/>
                <w:sz w:val="22"/>
                <w:szCs w:val="22"/>
                <w:lang w:val="es-MX"/>
              </w:rPr>
              <w:t xml:space="preserve"> las menciona </w:t>
            </w:r>
          </w:p>
        </w:tc>
        <w:tc>
          <w:tcPr>
            <w:tcW w:w="1797" w:type="dxa"/>
          </w:tcPr>
          <w:p w14:paraId="2639A15E" w14:textId="77777777" w:rsidR="008F0261" w:rsidRPr="001F3EB6" w:rsidRDefault="008F0261" w:rsidP="00AC2E50">
            <w:pPr>
              <w:pStyle w:val="Prrafodelista"/>
              <w:ind w:left="0"/>
              <w:jc w:val="center"/>
              <w:rPr>
                <w:rFonts w:ascii="Arial" w:eastAsia="Arial" w:hAnsi="Arial" w:cs="Arial"/>
                <w:color w:val="FF0000"/>
                <w:sz w:val="22"/>
                <w:szCs w:val="22"/>
                <w:lang w:val="es-MX"/>
              </w:rPr>
            </w:pPr>
          </w:p>
        </w:tc>
      </w:tr>
      <w:tr w:rsidR="001F3EB6" w:rsidRPr="001F3EB6" w14:paraId="1F3361B5" w14:textId="77777777" w:rsidTr="00AC2E50">
        <w:tc>
          <w:tcPr>
            <w:tcW w:w="1938" w:type="dxa"/>
          </w:tcPr>
          <w:p w14:paraId="20500612" w14:textId="77777777" w:rsidR="008F0261" w:rsidRPr="001F3EB6" w:rsidRDefault="008F0261" w:rsidP="00AC2E50">
            <w:pPr>
              <w:pStyle w:val="Prrafodelista"/>
              <w:ind w:left="0"/>
              <w:rPr>
                <w:color w:val="FF0000"/>
              </w:rPr>
            </w:pPr>
            <w:r w:rsidRPr="001F3EB6">
              <w:rPr>
                <w:color w:val="FF0000"/>
              </w:rPr>
              <w:t>7. Acto de presentación y apertura de proposiciones, acta de constancia</w:t>
            </w:r>
          </w:p>
        </w:tc>
        <w:tc>
          <w:tcPr>
            <w:tcW w:w="1797" w:type="dxa"/>
          </w:tcPr>
          <w:p w14:paraId="390594C4" w14:textId="2C9D54DA"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65 F-III</w:t>
            </w:r>
          </w:p>
        </w:tc>
        <w:tc>
          <w:tcPr>
            <w:tcW w:w="1856" w:type="dxa"/>
          </w:tcPr>
          <w:p w14:paraId="2628EDD5" w14:textId="77B22CB8" w:rsidR="008F0261" w:rsidRPr="001F3EB6" w:rsidRDefault="00C13FBB"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w:t>
            </w:r>
            <w:r w:rsidR="00EE08DA">
              <w:rPr>
                <w:rFonts w:ascii="Arial" w:eastAsia="Arial" w:hAnsi="Arial" w:cs="Arial"/>
                <w:color w:val="FF0000"/>
                <w:sz w:val="22"/>
                <w:szCs w:val="22"/>
                <w:lang w:val="es-MX"/>
              </w:rPr>
              <w:t>í</w:t>
            </w:r>
            <w:r w:rsidRPr="001F3EB6">
              <w:rPr>
                <w:rFonts w:ascii="Arial" w:eastAsia="Arial" w:hAnsi="Arial" w:cs="Arial"/>
                <w:color w:val="FF0000"/>
                <w:sz w:val="22"/>
                <w:szCs w:val="22"/>
                <w:lang w:val="es-MX"/>
              </w:rPr>
              <w:t xml:space="preserve"> las refiere</w:t>
            </w:r>
          </w:p>
        </w:tc>
        <w:tc>
          <w:tcPr>
            <w:tcW w:w="1797" w:type="dxa"/>
          </w:tcPr>
          <w:p w14:paraId="0B38DAED" w14:textId="637A493D" w:rsidR="008F0261" w:rsidRPr="001F3EB6" w:rsidRDefault="008F0261" w:rsidP="00AC2E50">
            <w:pPr>
              <w:pStyle w:val="Prrafodelista"/>
              <w:ind w:left="0"/>
              <w:jc w:val="center"/>
              <w:rPr>
                <w:rFonts w:ascii="Arial" w:eastAsia="Arial" w:hAnsi="Arial" w:cs="Arial"/>
                <w:color w:val="FF0000"/>
                <w:sz w:val="22"/>
                <w:szCs w:val="22"/>
                <w:lang w:val="es-MX"/>
              </w:rPr>
            </w:pPr>
          </w:p>
        </w:tc>
      </w:tr>
      <w:tr w:rsidR="001F3EB6" w:rsidRPr="001F3EB6" w14:paraId="647534EB" w14:textId="77777777" w:rsidTr="00AC2E50">
        <w:tc>
          <w:tcPr>
            <w:tcW w:w="1938" w:type="dxa"/>
          </w:tcPr>
          <w:p w14:paraId="11382BA8" w14:textId="77777777" w:rsidR="008F0261" w:rsidRPr="001F3EB6" w:rsidRDefault="008F0261" w:rsidP="00AC2E50">
            <w:pPr>
              <w:pStyle w:val="Prrafodelista"/>
              <w:ind w:left="0"/>
              <w:rPr>
                <w:color w:val="FF0000"/>
              </w:rPr>
            </w:pPr>
            <w:r w:rsidRPr="001F3EB6">
              <w:rPr>
                <w:color w:val="FF0000"/>
              </w:rPr>
              <w:t>8. Evaluación de las proposiciones</w:t>
            </w:r>
          </w:p>
        </w:tc>
        <w:tc>
          <w:tcPr>
            <w:tcW w:w="1797" w:type="dxa"/>
          </w:tcPr>
          <w:p w14:paraId="32EF89C6" w14:textId="096A7AAB"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66</w:t>
            </w:r>
          </w:p>
        </w:tc>
        <w:tc>
          <w:tcPr>
            <w:tcW w:w="1856" w:type="dxa"/>
          </w:tcPr>
          <w:p w14:paraId="2A853E2F"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54AF4EF7" w14:textId="77777777" w:rsidR="008F0261" w:rsidRPr="001F3EB6" w:rsidRDefault="008F0261"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color w:val="FF0000"/>
                <w:sz w:val="22"/>
                <w:szCs w:val="22"/>
                <w:lang w:val="es-MX"/>
              </w:rPr>
              <w:t>No las refiere</w:t>
            </w:r>
          </w:p>
        </w:tc>
      </w:tr>
      <w:tr w:rsidR="001F3EB6" w:rsidRPr="001F3EB6" w14:paraId="146F0987" w14:textId="77777777" w:rsidTr="00AC2E50">
        <w:tc>
          <w:tcPr>
            <w:tcW w:w="1938" w:type="dxa"/>
          </w:tcPr>
          <w:p w14:paraId="7F7BF761" w14:textId="77777777" w:rsidR="008F0261" w:rsidRPr="001F3EB6" w:rsidRDefault="008F0261" w:rsidP="00AC2E50">
            <w:pPr>
              <w:pStyle w:val="Prrafodelista"/>
              <w:ind w:left="0"/>
              <w:rPr>
                <w:color w:val="FF0000"/>
              </w:rPr>
            </w:pPr>
            <w:r w:rsidRPr="001F3EB6">
              <w:rPr>
                <w:color w:val="FF0000"/>
              </w:rPr>
              <w:t>9. Proceso de adjudicación posterior a la evaluación de las ofertas</w:t>
            </w:r>
          </w:p>
        </w:tc>
        <w:tc>
          <w:tcPr>
            <w:tcW w:w="1797" w:type="dxa"/>
          </w:tcPr>
          <w:p w14:paraId="51CE468A" w14:textId="54F0B448"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67</w:t>
            </w:r>
          </w:p>
        </w:tc>
        <w:tc>
          <w:tcPr>
            <w:tcW w:w="1856" w:type="dxa"/>
          </w:tcPr>
          <w:p w14:paraId="7174F12C"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2E552B68" w14:textId="61C57916" w:rsidR="008F0261" w:rsidRPr="001F3EB6" w:rsidRDefault="00C13FBB"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color w:val="FF0000"/>
                <w:sz w:val="22"/>
                <w:szCs w:val="22"/>
                <w:lang w:val="es-MX"/>
              </w:rPr>
              <w:t>No las refiere</w:t>
            </w:r>
          </w:p>
        </w:tc>
      </w:tr>
      <w:tr w:rsidR="001F3EB6" w:rsidRPr="001F3EB6" w14:paraId="6E43F4DC" w14:textId="77777777" w:rsidTr="00AC2E50">
        <w:tc>
          <w:tcPr>
            <w:tcW w:w="1938" w:type="dxa"/>
          </w:tcPr>
          <w:p w14:paraId="02CD443B" w14:textId="77777777" w:rsidR="008F0261" w:rsidRPr="001F3EB6" w:rsidRDefault="008F0261" w:rsidP="00AC2E50">
            <w:pPr>
              <w:pStyle w:val="Prrafodelista"/>
              <w:ind w:left="0"/>
              <w:rPr>
                <w:color w:val="FF0000"/>
              </w:rPr>
            </w:pPr>
            <w:r w:rsidRPr="001F3EB6">
              <w:rPr>
                <w:color w:val="FF0000"/>
              </w:rPr>
              <w:t>10. Emisión del fallo o resolución dentro de los 20 días naturales al acto de presentación y apertura</w:t>
            </w:r>
          </w:p>
        </w:tc>
        <w:tc>
          <w:tcPr>
            <w:tcW w:w="1797" w:type="dxa"/>
          </w:tcPr>
          <w:p w14:paraId="17BF4A27" w14:textId="314116E8"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69 punto1</w:t>
            </w:r>
          </w:p>
        </w:tc>
        <w:tc>
          <w:tcPr>
            <w:tcW w:w="1856" w:type="dxa"/>
          </w:tcPr>
          <w:p w14:paraId="208C6EEC" w14:textId="0F0AD951"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w:t>
            </w:r>
            <w:r w:rsidR="00EE08DA">
              <w:rPr>
                <w:rFonts w:ascii="Arial" w:eastAsia="Arial" w:hAnsi="Arial" w:cs="Arial"/>
                <w:color w:val="FF0000"/>
                <w:sz w:val="22"/>
                <w:szCs w:val="22"/>
                <w:lang w:val="es-MX"/>
              </w:rPr>
              <w:t>í</w:t>
            </w:r>
            <w:r w:rsidRPr="001F3EB6">
              <w:rPr>
                <w:rFonts w:ascii="Arial" w:eastAsia="Arial" w:hAnsi="Arial" w:cs="Arial"/>
                <w:color w:val="FF0000"/>
                <w:sz w:val="22"/>
                <w:szCs w:val="22"/>
                <w:lang w:val="es-MX"/>
              </w:rPr>
              <w:t xml:space="preserve"> la refiere</w:t>
            </w:r>
          </w:p>
        </w:tc>
        <w:tc>
          <w:tcPr>
            <w:tcW w:w="1797" w:type="dxa"/>
          </w:tcPr>
          <w:p w14:paraId="4688196B" w14:textId="77777777" w:rsidR="008F0261" w:rsidRPr="001F3EB6" w:rsidRDefault="008F0261" w:rsidP="00AC2E50">
            <w:pPr>
              <w:pStyle w:val="Prrafodelista"/>
              <w:ind w:left="0"/>
              <w:jc w:val="center"/>
              <w:rPr>
                <w:rFonts w:ascii="Arial" w:eastAsia="Arial" w:hAnsi="Arial" w:cs="Arial"/>
                <w:color w:val="FF0000"/>
                <w:sz w:val="22"/>
                <w:szCs w:val="22"/>
                <w:lang w:val="es-MX"/>
              </w:rPr>
            </w:pPr>
          </w:p>
        </w:tc>
      </w:tr>
      <w:tr w:rsidR="001F3EB6" w:rsidRPr="001F3EB6" w14:paraId="30B8020E" w14:textId="77777777" w:rsidTr="00AC2E50">
        <w:tc>
          <w:tcPr>
            <w:tcW w:w="1938" w:type="dxa"/>
          </w:tcPr>
          <w:p w14:paraId="401597B4" w14:textId="77777777" w:rsidR="008F0261" w:rsidRPr="001F3EB6" w:rsidRDefault="008F0261" w:rsidP="00AC2E50">
            <w:pPr>
              <w:pStyle w:val="Prrafodelista"/>
              <w:ind w:left="0"/>
              <w:rPr>
                <w:color w:val="FF0000"/>
              </w:rPr>
            </w:pPr>
            <w:r w:rsidRPr="001F3EB6">
              <w:rPr>
                <w:color w:val="FF0000"/>
              </w:rPr>
              <w:t>11. Difusión del fallo, publicación en página durante 10 días naturales</w:t>
            </w:r>
          </w:p>
        </w:tc>
        <w:tc>
          <w:tcPr>
            <w:tcW w:w="1797" w:type="dxa"/>
          </w:tcPr>
          <w:p w14:paraId="1769B0EE" w14:textId="2E3FA276"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69 punto 4</w:t>
            </w:r>
          </w:p>
        </w:tc>
        <w:tc>
          <w:tcPr>
            <w:tcW w:w="1856" w:type="dxa"/>
          </w:tcPr>
          <w:p w14:paraId="4CB55A73"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645BCC43" w14:textId="77777777" w:rsidR="008F0261" w:rsidRPr="001F3EB6" w:rsidRDefault="008F0261" w:rsidP="00AC2E50">
            <w:pPr>
              <w:pStyle w:val="Prrafodelista"/>
              <w:ind w:left="0"/>
              <w:jc w:val="center"/>
              <w:rPr>
                <w:rFonts w:ascii="Arial" w:eastAsia="Arial" w:hAnsi="Arial" w:cs="Arial"/>
                <w:color w:val="FF0000"/>
                <w:sz w:val="22"/>
                <w:szCs w:val="22"/>
                <w:lang w:val="es-MX"/>
              </w:rPr>
            </w:pPr>
            <w:r w:rsidRPr="001F3EB6">
              <w:rPr>
                <w:rFonts w:ascii="Arial" w:eastAsia="Arial" w:hAnsi="Arial" w:cs="Arial"/>
                <w:color w:val="FF0000"/>
                <w:sz w:val="22"/>
                <w:szCs w:val="22"/>
                <w:lang w:val="es-MX"/>
              </w:rPr>
              <w:t>No las refiere</w:t>
            </w:r>
          </w:p>
        </w:tc>
      </w:tr>
      <w:tr w:rsidR="001F3EB6" w:rsidRPr="001F3EB6" w14:paraId="77167040" w14:textId="77777777" w:rsidTr="00AC2E50">
        <w:tc>
          <w:tcPr>
            <w:tcW w:w="1938" w:type="dxa"/>
          </w:tcPr>
          <w:p w14:paraId="1E339327" w14:textId="77777777" w:rsidR="008F0261" w:rsidRPr="001F3EB6" w:rsidRDefault="008F0261" w:rsidP="00AC2E50">
            <w:pPr>
              <w:pStyle w:val="Prrafodelista"/>
              <w:ind w:left="0"/>
              <w:rPr>
                <w:color w:val="FF0000"/>
              </w:rPr>
            </w:pPr>
            <w:r w:rsidRPr="001F3EB6">
              <w:rPr>
                <w:color w:val="FF0000"/>
              </w:rPr>
              <w:t>12. Formalización del contrato</w:t>
            </w:r>
          </w:p>
        </w:tc>
        <w:tc>
          <w:tcPr>
            <w:tcW w:w="1797" w:type="dxa"/>
          </w:tcPr>
          <w:p w14:paraId="3BA0FE42" w14:textId="5A485EE2"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75 al 89</w:t>
            </w:r>
          </w:p>
        </w:tc>
        <w:tc>
          <w:tcPr>
            <w:tcW w:w="1856" w:type="dxa"/>
          </w:tcPr>
          <w:p w14:paraId="2A470192"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0113FE7B" w14:textId="2D062A50" w:rsidR="008F0261" w:rsidRPr="001F3EB6" w:rsidRDefault="00C13FBB"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Si las refiere</w:t>
            </w:r>
          </w:p>
        </w:tc>
      </w:tr>
    </w:tbl>
    <w:p w14:paraId="32DD309A" w14:textId="77777777" w:rsidR="008F0261" w:rsidRPr="001F3EB6" w:rsidRDefault="008F0261" w:rsidP="008F0261">
      <w:pPr>
        <w:pStyle w:val="Prrafodelista"/>
        <w:ind w:left="720"/>
        <w:rPr>
          <w:rFonts w:ascii="Arial" w:eastAsia="Arial" w:hAnsi="Arial" w:cs="Arial"/>
          <w:color w:val="FF0000"/>
          <w:sz w:val="22"/>
          <w:szCs w:val="22"/>
          <w:lang w:val="es-MX"/>
        </w:rPr>
      </w:pPr>
    </w:p>
    <w:p w14:paraId="6A9E51CB" w14:textId="77777777" w:rsidR="008F0261" w:rsidRPr="001F3EB6" w:rsidRDefault="008F0261" w:rsidP="008F0261">
      <w:pPr>
        <w:pStyle w:val="Prrafodelista"/>
        <w:ind w:left="720"/>
        <w:rPr>
          <w:rFonts w:ascii="Arial" w:eastAsia="Arial" w:hAnsi="Arial" w:cs="Arial"/>
          <w:color w:val="FF0000"/>
          <w:sz w:val="22"/>
          <w:szCs w:val="22"/>
          <w:lang w:val="es-MX"/>
        </w:rPr>
      </w:pPr>
    </w:p>
    <w:tbl>
      <w:tblPr>
        <w:tblStyle w:val="Tablaconcuadrcula"/>
        <w:tblW w:w="0" w:type="auto"/>
        <w:tblInd w:w="1440" w:type="dxa"/>
        <w:tblLook w:val="04A0" w:firstRow="1" w:lastRow="0" w:firstColumn="1" w:lastColumn="0" w:noHBand="0" w:noVBand="1"/>
      </w:tblPr>
      <w:tblGrid>
        <w:gridCol w:w="1832"/>
        <w:gridCol w:w="1717"/>
        <w:gridCol w:w="1788"/>
        <w:gridCol w:w="1717"/>
      </w:tblGrid>
      <w:tr w:rsidR="001F3EB6" w:rsidRPr="001F3EB6" w14:paraId="715E662E" w14:textId="77777777" w:rsidTr="00AC2E50">
        <w:tc>
          <w:tcPr>
            <w:tcW w:w="7388" w:type="dxa"/>
            <w:gridSpan w:val="4"/>
          </w:tcPr>
          <w:p w14:paraId="56B4CE62" w14:textId="77777777" w:rsidR="008F0261" w:rsidRPr="001F3EB6" w:rsidRDefault="008F0261" w:rsidP="00AC2E50">
            <w:pPr>
              <w:pStyle w:val="Prrafodelista"/>
              <w:ind w:left="0"/>
              <w:jc w:val="center"/>
              <w:rPr>
                <w:rFonts w:ascii="Arial" w:eastAsia="Arial" w:hAnsi="Arial" w:cs="Arial"/>
                <w:b/>
                <w:bCs/>
                <w:color w:val="FF0000"/>
                <w:sz w:val="22"/>
                <w:szCs w:val="22"/>
                <w:lang w:val="es-MX"/>
              </w:rPr>
            </w:pPr>
            <w:r w:rsidRPr="001F3EB6">
              <w:rPr>
                <w:rFonts w:ascii="Arial" w:eastAsia="Arial" w:hAnsi="Arial" w:cs="Arial"/>
                <w:b/>
                <w:bCs/>
                <w:color w:val="FF0000"/>
                <w:sz w:val="22"/>
                <w:szCs w:val="22"/>
                <w:lang w:val="es-MX"/>
              </w:rPr>
              <w:t>Del proceso de Testigos Sociales</w:t>
            </w:r>
          </w:p>
        </w:tc>
      </w:tr>
      <w:tr w:rsidR="001F3EB6" w:rsidRPr="001F3EB6" w14:paraId="2392D233" w14:textId="77777777" w:rsidTr="00AC2E50">
        <w:tc>
          <w:tcPr>
            <w:tcW w:w="1938" w:type="dxa"/>
          </w:tcPr>
          <w:p w14:paraId="4D82F815"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color w:val="FF0000"/>
              </w:rPr>
              <w:t>Proceso</w:t>
            </w:r>
          </w:p>
        </w:tc>
        <w:tc>
          <w:tcPr>
            <w:tcW w:w="1797" w:type="dxa"/>
          </w:tcPr>
          <w:p w14:paraId="347423C2"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Fundamento legal Ley de compras</w:t>
            </w:r>
          </w:p>
        </w:tc>
        <w:tc>
          <w:tcPr>
            <w:tcW w:w="1856" w:type="dxa"/>
          </w:tcPr>
          <w:p w14:paraId="668C930E"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Cumplimiento</w:t>
            </w:r>
          </w:p>
        </w:tc>
        <w:tc>
          <w:tcPr>
            <w:tcW w:w="1797" w:type="dxa"/>
          </w:tcPr>
          <w:p w14:paraId="39F26829"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Irregularidad</w:t>
            </w:r>
          </w:p>
        </w:tc>
      </w:tr>
      <w:tr w:rsidR="001F3EB6" w:rsidRPr="001F3EB6" w14:paraId="2B18DD9C" w14:textId="77777777" w:rsidTr="00AC2E50">
        <w:tc>
          <w:tcPr>
            <w:tcW w:w="1938" w:type="dxa"/>
          </w:tcPr>
          <w:p w14:paraId="5296B82E" w14:textId="77777777" w:rsidR="008F0261" w:rsidRPr="001F3EB6" w:rsidRDefault="008F0261" w:rsidP="00AC2E50">
            <w:pPr>
              <w:pStyle w:val="Prrafodelista"/>
              <w:ind w:left="0"/>
              <w:rPr>
                <w:color w:val="FF0000"/>
              </w:rPr>
            </w:pPr>
            <w:r w:rsidRPr="001F3EB6">
              <w:rPr>
                <w:color w:val="FF0000"/>
              </w:rPr>
              <w:t>1. Participación de Testigos Sociales</w:t>
            </w:r>
          </w:p>
        </w:tc>
        <w:tc>
          <w:tcPr>
            <w:tcW w:w="1797" w:type="dxa"/>
          </w:tcPr>
          <w:p w14:paraId="7B24ABC0" w14:textId="256CF206"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37</w:t>
            </w:r>
          </w:p>
        </w:tc>
        <w:tc>
          <w:tcPr>
            <w:tcW w:w="1856" w:type="dxa"/>
          </w:tcPr>
          <w:p w14:paraId="48DDEC4C"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04BEE9B8"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No participaron</w:t>
            </w:r>
          </w:p>
        </w:tc>
      </w:tr>
    </w:tbl>
    <w:p w14:paraId="73FA7220" w14:textId="77777777" w:rsidR="008F0261" w:rsidRPr="001F3EB6" w:rsidRDefault="008F0261" w:rsidP="008F0261">
      <w:pPr>
        <w:pStyle w:val="Prrafodelista"/>
        <w:ind w:left="720"/>
        <w:rPr>
          <w:rFonts w:ascii="Arial" w:eastAsia="Arial" w:hAnsi="Arial" w:cs="Arial"/>
          <w:color w:val="FF0000"/>
          <w:sz w:val="22"/>
          <w:szCs w:val="22"/>
        </w:rPr>
      </w:pPr>
    </w:p>
    <w:tbl>
      <w:tblPr>
        <w:tblStyle w:val="Tablaconcuadrcula"/>
        <w:tblW w:w="0" w:type="auto"/>
        <w:tblInd w:w="1440" w:type="dxa"/>
        <w:tblLook w:val="04A0" w:firstRow="1" w:lastRow="0" w:firstColumn="1" w:lastColumn="0" w:noHBand="0" w:noVBand="1"/>
      </w:tblPr>
      <w:tblGrid>
        <w:gridCol w:w="1804"/>
        <w:gridCol w:w="1727"/>
        <w:gridCol w:w="1796"/>
        <w:gridCol w:w="1727"/>
      </w:tblGrid>
      <w:tr w:rsidR="001F3EB6" w:rsidRPr="001F3EB6" w14:paraId="168A8F40" w14:textId="77777777" w:rsidTr="00622FC3">
        <w:tc>
          <w:tcPr>
            <w:tcW w:w="7054" w:type="dxa"/>
            <w:gridSpan w:val="4"/>
          </w:tcPr>
          <w:p w14:paraId="69F92843" w14:textId="77777777" w:rsidR="008F0261" w:rsidRPr="001F3EB6" w:rsidRDefault="008F0261" w:rsidP="00AC2E50">
            <w:pPr>
              <w:pStyle w:val="Prrafodelista"/>
              <w:ind w:left="0"/>
              <w:jc w:val="center"/>
              <w:rPr>
                <w:rFonts w:ascii="Arial" w:eastAsia="Arial" w:hAnsi="Arial" w:cs="Arial"/>
                <w:b/>
                <w:bCs/>
                <w:color w:val="FF0000"/>
                <w:sz w:val="22"/>
                <w:szCs w:val="22"/>
                <w:lang w:val="es-MX"/>
              </w:rPr>
            </w:pPr>
            <w:r w:rsidRPr="001F3EB6">
              <w:rPr>
                <w:rFonts w:ascii="Arial" w:eastAsia="Arial" w:hAnsi="Arial" w:cs="Arial"/>
                <w:b/>
                <w:bCs/>
                <w:color w:val="FF0000"/>
                <w:sz w:val="22"/>
                <w:szCs w:val="22"/>
                <w:lang w:val="es-MX"/>
              </w:rPr>
              <w:t>Del proceso de Entrega del Bien</w:t>
            </w:r>
          </w:p>
        </w:tc>
      </w:tr>
      <w:tr w:rsidR="001F3EB6" w:rsidRPr="001F3EB6" w14:paraId="732A33CD" w14:textId="77777777" w:rsidTr="00622FC3">
        <w:tc>
          <w:tcPr>
            <w:tcW w:w="1804" w:type="dxa"/>
          </w:tcPr>
          <w:p w14:paraId="5CA635DB"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color w:val="FF0000"/>
              </w:rPr>
              <w:t>Proceso</w:t>
            </w:r>
          </w:p>
        </w:tc>
        <w:tc>
          <w:tcPr>
            <w:tcW w:w="1727" w:type="dxa"/>
          </w:tcPr>
          <w:p w14:paraId="6F6D07D2"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Fundamento legal Ley de compras</w:t>
            </w:r>
          </w:p>
        </w:tc>
        <w:tc>
          <w:tcPr>
            <w:tcW w:w="1796" w:type="dxa"/>
          </w:tcPr>
          <w:p w14:paraId="44D1E765"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Cumplimiento</w:t>
            </w:r>
          </w:p>
        </w:tc>
        <w:tc>
          <w:tcPr>
            <w:tcW w:w="1727" w:type="dxa"/>
          </w:tcPr>
          <w:p w14:paraId="43A6DAF1"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Irregularidad</w:t>
            </w:r>
          </w:p>
        </w:tc>
      </w:tr>
      <w:tr w:rsidR="001F3EB6" w:rsidRPr="001F3EB6" w14:paraId="4A945AC8" w14:textId="77777777" w:rsidTr="00622FC3">
        <w:tc>
          <w:tcPr>
            <w:tcW w:w="1804" w:type="dxa"/>
          </w:tcPr>
          <w:p w14:paraId="35124106" w14:textId="61389CAB" w:rsidR="008F0261" w:rsidRPr="001F3EB6" w:rsidRDefault="00622FC3" w:rsidP="00AC2E50">
            <w:pPr>
              <w:pStyle w:val="Prrafodelista"/>
              <w:ind w:left="0"/>
              <w:rPr>
                <w:color w:val="FF0000"/>
              </w:rPr>
            </w:pPr>
            <w:r w:rsidRPr="001F3EB6">
              <w:rPr>
                <w:color w:val="FF0000"/>
              </w:rPr>
              <w:lastRenderedPageBreak/>
              <w:t>1. Garantía o fianza</w:t>
            </w:r>
          </w:p>
        </w:tc>
        <w:tc>
          <w:tcPr>
            <w:tcW w:w="1727" w:type="dxa"/>
          </w:tcPr>
          <w:p w14:paraId="18555F45" w14:textId="2E44C88D" w:rsidR="008F0261" w:rsidRPr="001F3EB6" w:rsidRDefault="00622FC3"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 84</w:t>
            </w:r>
          </w:p>
        </w:tc>
        <w:tc>
          <w:tcPr>
            <w:tcW w:w="1796" w:type="dxa"/>
          </w:tcPr>
          <w:p w14:paraId="1E34969C"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27" w:type="dxa"/>
          </w:tcPr>
          <w:p w14:paraId="6282AF85" w14:textId="2BCF42CF" w:rsidR="008F0261" w:rsidRPr="001F3EB6" w:rsidRDefault="00622FC3"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No se cumpli</w:t>
            </w:r>
            <w:r w:rsidR="00EE08DA">
              <w:rPr>
                <w:rFonts w:ascii="Arial" w:eastAsia="Arial" w:hAnsi="Arial" w:cs="Arial"/>
                <w:color w:val="FF0000"/>
                <w:sz w:val="22"/>
                <w:szCs w:val="22"/>
                <w:lang w:val="es-MX"/>
              </w:rPr>
              <w:t>ó</w:t>
            </w:r>
            <w:r w:rsidRPr="001F3EB6">
              <w:rPr>
                <w:rFonts w:ascii="Arial" w:eastAsia="Arial" w:hAnsi="Arial" w:cs="Arial"/>
                <w:color w:val="FF0000"/>
                <w:sz w:val="22"/>
                <w:szCs w:val="22"/>
                <w:lang w:val="es-MX"/>
              </w:rPr>
              <w:t xml:space="preserve"> ya que no fue requerida por el ente p</w:t>
            </w:r>
            <w:r w:rsidR="00EE08DA">
              <w:rPr>
                <w:rFonts w:ascii="Arial" w:eastAsia="Arial" w:hAnsi="Arial" w:cs="Arial"/>
                <w:color w:val="FF0000"/>
                <w:sz w:val="22"/>
                <w:szCs w:val="22"/>
                <w:lang w:val="es-MX"/>
              </w:rPr>
              <w:t>ú</w:t>
            </w:r>
            <w:r w:rsidRPr="001F3EB6">
              <w:rPr>
                <w:rFonts w:ascii="Arial" w:eastAsia="Arial" w:hAnsi="Arial" w:cs="Arial"/>
                <w:color w:val="FF0000"/>
                <w:sz w:val="22"/>
                <w:szCs w:val="22"/>
                <w:lang w:val="es-MX"/>
              </w:rPr>
              <w:t>blico.</w:t>
            </w:r>
          </w:p>
        </w:tc>
      </w:tr>
      <w:tr w:rsidR="001F3EB6" w:rsidRPr="001F3EB6" w14:paraId="1ADC95A1" w14:textId="77777777" w:rsidTr="00622FC3">
        <w:tc>
          <w:tcPr>
            <w:tcW w:w="1804" w:type="dxa"/>
          </w:tcPr>
          <w:p w14:paraId="583E8239" w14:textId="7B3C90EA" w:rsidR="00622FC3" w:rsidRPr="001F3EB6" w:rsidRDefault="00622FC3" w:rsidP="00622FC3">
            <w:pPr>
              <w:pStyle w:val="Prrafodelista"/>
              <w:ind w:left="0"/>
              <w:rPr>
                <w:color w:val="FF0000"/>
              </w:rPr>
            </w:pPr>
            <w:r w:rsidRPr="001F3EB6">
              <w:rPr>
                <w:color w:val="FF0000"/>
              </w:rPr>
              <w:t>2. Obligación del pago</w:t>
            </w:r>
          </w:p>
        </w:tc>
        <w:tc>
          <w:tcPr>
            <w:tcW w:w="1727" w:type="dxa"/>
          </w:tcPr>
          <w:p w14:paraId="7116B6AC" w14:textId="1BE54FFB" w:rsidR="00622FC3" w:rsidRPr="001F3EB6" w:rsidRDefault="00622FC3" w:rsidP="00622FC3">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 87</w:t>
            </w:r>
          </w:p>
        </w:tc>
        <w:tc>
          <w:tcPr>
            <w:tcW w:w="1796" w:type="dxa"/>
          </w:tcPr>
          <w:p w14:paraId="0F6AC8E4" w14:textId="77777777" w:rsidR="00622FC3" w:rsidRPr="001F3EB6" w:rsidRDefault="00622FC3" w:rsidP="00622FC3">
            <w:pPr>
              <w:pStyle w:val="Prrafodelista"/>
              <w:ind w:left="0"/>
              <w:rPr>
                <w:rFonts w:ascii="Arial" w:eastAsia="Arial" w:hAnsi="Arial" w:cs="Arial"/>
                <w:color w:val="FF0000"/>
                <w:sz w:val="22"/>
                <w:szCs w:val="22"/>
                <w:lang w:val="es-MX"/>
              </w:rPr>
            </w:pPr>
          </w:p>
        </w:tc>
        <w:tc>
          <w:tcPr>
            <w:tcW w:w="1727" w:type="dxa"/>
          </w:tcPr>
          <w:p w14:paraId="0EA99598" w14:textId="5ACE9A75" w:rsidR="00622FC3" w:rsidRPr="001F3EB6" w:rsidRDefault="00622FC3" w:rsidP="00622FC3">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No hay evidencia de la entrega del n</w:t>
            </w:r>
            <w:r w:rsidR="00EE08DA">
              <w:rPr>
                <w:rFonts w:ascii="Arial" w:eastAsia="Arial" w:hAnsi="Arial" w:cs="Arial"/>
                <w:color w:val="FF0000"/>
                <w:sz w:val="22"/>
                <w:szCs w:val="22"/>
                <w:lang w:val="es-MX"/>
              </w:rPr>
              <w:t>ú</w:t>
            </w:r>
            <w:r w:rsidRPr="001F3EB6">
              <w:rPr>
                <w:rFonts w:ascii="Arial" w:eastAsia="Arial" w:hAnsi="Arial" w:cs="Arial"/>
                <w:color w:val="FF0000"/>
                <w:sz w:val="22"/>
                <w:szCs w:val="22"/>
                <w:lang w:val="es-MX"/>
              </w:rPr>
              <w:t>mero de men</w:t>
            </w:r>
            <w:r w:rsidR="00EE08DA">
              <w:rPr>
                <w:rFonts w:ascii="Arial" w:eastAsia="Arial" w:hAnsi="Arial" w:cs="Arial"/>
                <w:color w:val="FF0000"/>
                <w:sz w:val="22"/>
                <w:szCs w:val="22"/>
                <w:lang w:val="es-MX"/>
              </w:rPr>
              <w:t>ú</w:t>
            </w:r>
            <w:r w:rsidRPr="001F3EB6">
              <w:rPr>
                <w:rFonts w:ascii="Arial" w:eastAsia="Arial" w:hAnsi="Arial" w:cs="Arial"/>
                <w:color w:val="FF0000"/>
                <w:sz w:val="22"/>
                <w:szCs w:val="22"/>
                <w:lang w:val="es-MX"/>
              </w:rPr>
              <w:t>s.</w:t>
            </w:r>
          </w:p>
        </w:tc>
      </w:tr>
    </w:tbl>
    <w:p w14:paraId="386B7FDA" w14:textId="77777777" w:rsidR="008F0261" w:rsidRPr="001F3EB6" w:rsidRDefault="008F0261" w:rsidP="008F0261">
      <w:pPr>
        <w:pStyle w:val="Prrafodelista"/>
        <w:ind w:left="720"/>
        <w:rPr>
          <w:rFonts w:ascii="Arial" w:eastAsia="Arial" w:hAnsi="Arial" w:cs="Arial"/>
          <w:color w:val="FF0000"/>
          <w:sz w:val="22"/>
          <w:szCs w:val="22"/>
          <w:lang w:val="es-MX"/>
        </w:rPr>
      </w:pPr>
    </w:p>
    <w:p w14:paraId="0F1495D4" w14:textId="77777777" w:rsidR="008F0261" w:rsidRPr="001F3EB6" w:rsidRDefault="008F0261" w:rsidP="008F0261">
      <w:pPr>
        <w:pStyle w:val="Prrafodelista"/>
        <w:ind w:left="720"/>
        <w:rPr>
          <w:rFonts w:ascii="Arial" w:eastAsia="Arial" w:hAnsi="Arial" w:cs="Arial"/>
          <w:color w:val="FF0000"/>
          <w:sz w:val="22"/>
          <w:szCs w:val="22"/>
          <w:lang w:val="es-MX"/>
        </w:rPr>
      </w:pPr>
    </w:p>
    <w:tbl>
      <w:tblPr>
        <w:tblStyle w:val="Tablaconcuadrcula"/>
        <w:tblW w:w="0" w:type="auto"/>
        <w:tblInd w:w="1440" w:type="dxa"/>
        <w:tblLook w:val="04A0" w:firstRow="1" w:lastRow="0" w:firstColumn="1" w:lastColumn="0" w:noHBand="0" w:noVBand="1"/>
      </w:tblPr>
      <w:tblGrid>
        <w:gridCol w:w="1827"/>
        <w:gridCol w:w="1719"/>
        <w:gridCol w:w="1789"/>
        <w:gridCol w:w="1719"/>
      </w:tblGrid>
      <w:tr w:rsidR="001F3EB6" w:rsidRPr="001F3EB6" w14:paraId="4BFB9D82" w14:textId="77777777" w:rsidTr="00AC2E50">
        <w:tc>
          <w:tcPr>
            <w:tcW w:w="7388" w:type="dxa"/>
            <w:gridSpan w:val="4"/>
          </w:tcPr>
          <w:p w14:paraId="23C4B25F" w14:textId="77777777" w:rsidR="008F0261" w:rsidRPr="001F3EB6" w:rsidRDefault="008F0261" w:rsidP="00AC2E50">
            <w:pPr>
              <w:pStyle w:val="Prrafodelista"/>
              <w:ind w:left="0"/>
              <w:jc w:val="center"/>
              <w:rPr>
                <w:rFonts w:ascii="Arial" w:eastAsia="Arial" w:hAnsi="Arial" w:cs="Arial"/>
                <w:b/>
                <w:bCs/>
                <w:color w:val="FF0000"/>
                <w:sz w:val="22"/>
                <w:szCs w:val="22"/>
                <w:lang w:val="es-MX"/>
              </w:rPr>
            </w:pPr>
            <w:r w:rsidRPr="001F3EB6">
              <w:rPr>
                <w:rFonts w:ascii="Arial" w:eastAsia="Arial" w:hAnsi="Arial" w:cs="Arial"/>
                <w:b/>
                <w:bCs/>
                <w:color w:val="FF0000"/>
                <w:sz w:val="22"/>
                <w:szCs w:val="22"/>
                <w:lang w:val="es-MX"/>
              </w:rPr>
              <w:t>Del proceso de Firma de Adjudicación de Contrato</w:t>
            </w:r>
          </w:p>
        </w:tc>
      </w:tr>
      <w:tr w:rsidR="001F3EB6" w:rsidRPr="001F3EB6" w14:paraId="2C1B98D5" w14:textId="77777777" w:rsidTr="00AC2E50">
        <w:tc>
          <w:tcPr>
            <w:tcW w:w="1938" w:type="dxa"/>
          </w:tcPr>
          <w:p w14:paraId="0ED66A82"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color w:val="FF0000"/>
              </w:rPr>
              <w:t>Proceso</w:t>
            </w:r>
          </w:p>
        </w:tc>
        <w:tc>
          <w:tcPr>
            <w:tcW w:w="1797" w:type="dxa"/>
          </w:tcPr>
          <w:p w14:paraId="52C0AE61"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Fundamento legal Ley Orgánica del Poder Legislativo</w:t>
            </w:r>
          </w:p>
        </w:tc>
        <w:tc>
          <w:tcPr>
            <w:tcW w:w="1856" w:type="dxa"/>
          </w:tcPr>
          <w:p w14:paraId="44EE9F12"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Cumplimiento</w:t>
            </w:r>
          </w:p>
        </w:tc>
        <w:tc>
          <w:tcPr>
            <w:tcW w:w="1797" w:type="dxa"/>
          </w:tcPr>
          <w:p w14:paraId="11595B98"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Irregularidad</w:t>
            </w:r>
          </w:p>
        </w:tc>
      </w:tr>
      <w:tr w:rsidR="001F3EB6" w:rsidRPr="001F3EB6" w14:paraId="55A5F1E5" w14:textId="77777777" w:rsidTr="00AC2E50">
        <w:tc>
          <w:tcPr>
            <w:tcW w:w="1938" w:type="dxa"/>
          </w:tcPr>
          <w:p w14:paraId="39C2E936" w14:textId="77777777" w:rsidR="008F0261" w:rsidRPr="001F3EB6" w:rsidRDefault="008F0261" w:rsidP="00AC2E50">
            <w:pPr>
              <w:pStyle w:val="Prrafodelista"/>
              <w:ind w:left="0"/>
              <w:rPr>
                <w:color w:val="FF0000"/>
              </w:rPr>
            </w:pPr>
            <w:r w:rsidRPr="001F3EB6">
              <w:rPr>
                <w:color w:val="FF0000"/>
              </w:rPr>
              <w:t xml:space="preserve">1. Firma de aval la adjudicación del contrato </w:t>
            </w:r>
          </w:p>
        </w:tc>
        <w:tc>
          <w:tcPr>
            <w:tcW w:w="1797" w:type="dxa"/>
          </w:tcPr>
          <w:p w14:paraId="0579A18D" w14:textId="43085923"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Art</w:t>
            </w:r>
            <w:r w:rsidR="00EE08DA">
              <w:rPr>
                <w:rFonts w:ascii="Arial" w:eastAsia="Arial" w:hAnsi="Arial" w:cs="Arial"/>
                <w:color w:val="FF0000"/>
                <w:sz w:val="22"/>
                <w:szCs w:val="22"/>
                <w:lang w:val="es-MX"/>
              </w:rPr>
              <w:t>.</w:t>
            </w:r>
            <w:r w:rsidRPr="001F3EB6">
              <w:rPr>
                <w:rFonts w:ascii="Arial" w:eastAsia="Arial" w:hAnsi="Arial" w:cs="Arial"/>
                <w:color w:val="FF0000"/>
                <w:sz w:val="22"/>
                <w:szCs w:val="22"/>
                <w:lang w:val="es-MX"/>
              </w:rPr>
              <w:t xml:space="preserve"> 52 al 54</w:t>
            </w:r>
          </w:p>
        </w:tc>
        <w:tc>
          <w:tcPr>
            <w:tcW w:w="1856" w:type="dxa"/>
          </w:tcPr>
          <w:p w14:paraId="2637450A" w14:textId="77777777" w:rsidR="008F0261" w:rsidRPr="001F3EB6" w:rsidRDefault="008F0261" w:rsidP="00AC2E50">
            <w:pPr>
              <w:pStyle w:val="Prrafodelista"/>
              <w:ind w:left="0"/>
              <w:rPr>
                <w:rFonts w:ascii="Arial" w:eastAsia="Arial" w:hAnsi="Arial" w:cs="Arial"/>
                <w:color w:val="FF0000"/>
                <w:sz w:val="22"/>
                <w:szCs w:val="22"/>
                <w:lang w:val="es-MX"/>
              </w:rPr>
            </w:pPr>
          </w:p>
        </w:tc>
        <w:tc>
          <w:tcPr>
            <w:tcW w:w="1797" w:type="dxa"/>
          </w:tcPr>
          <w:p w14:paraId="3160478E" w14:textId="77777777" w:rsidR="008F0261" w:rsidRPr="001F3EB6" w:rsidRDefault="008F0261" w:rsidP="00AC2E50">
            <w:pPr>
              <w:pStyle w:val="Prrafodelista"/>
              <w:ind w:left="0"/>
              <w:rPr>
                <w:rFonts w:ascii="Arial" w:eastAsia="Arial" w:hAnsi="Arial" w:cs="Arial"/>
                <w:color w:val="FF0000"/>
                <w:sz w:val="22"/>
                <w:szCs w:val="22"/>
                <w:lang w:val="es-MX"/>
              </w:rPr>
            </w:pPr>
            <w:r w:rsidRPr="001F3EB6">
              <w:rPr>
                <w:rFonts w:ascii="Arial" w:eastAsia="Arial" w:hAnsi="Arial" w:cs="Arial"/>
                <w:color w:val="FF0000"/>
                <w:sz w:val="22"/>
                <w:szCs w:val="22"/>
                <w:lang w:val="es-MX"/>
              </w:rPr>
              <w:t>No lo refiere</w:t>
            </w:r>
          </w:p>
        </w:tc>
      </w:tr>
    </w:tbl>
    <w:p w14:paraId="5A3DB9D4" w14:textId="32459400" w:rsidR="008F0261" w:rsidRDefault="008F0261" w:rsidP="008F0261">
      <w:pPr>
        <w:pStyle w:val="Prrafodelista"/>
        <w:ind w:left="720"/>
        <w:rPr>
          <w:rFonts w:ascii="Arial" w:eastAsia="Arial" w:hAnsi="Arial" w:cs="Arial"/>
          <w:color w:val="FF0000"/>
          <w:sz w:val="22"/>
          <w:szCs w:val="22"/>
          <w:lang w:val="es-MX"/>
        </w:rPr>
      </w:pPr>
    </w:p>
    <w:p w14:paraId="324B8DA8" w14:textId="66FD86A0" w:rsidR="007B6544" w:rsidRDefault="007B6544" w:rsidP="008F0261">
      <w:pPr>
        <w:pStyle w:val="Prrafodelista"/>
        <w:ind w:left="720"/>
        <w:rPr>
          <w:rFonts w:ascii="Arial" w:eastAsia="Arial" w:hAnsi="Arial" w:cs="Arial"/>
          <w:color w:val="FF0000"/>
          <w:sz w:val="22"/>
          <w:szCs w:val="22"/>
          <w:lang w:val="es-MX"/>
        </w:rPr>
      </w:pPr>
      <w:r>
        <w:rPr>
          <w:rFonts w:ascii="Arial" w:eastAsia="Arial" w:hAnsi="Arial" w:cs="Arial"/>
          <w:color w:val="FF0000"/>
          <w:sz w:val="22"/>
          <w:szCs w:val="22"/>
          <w:lang w:val="es-MX"/>
        </w:rPr>
        <w:t>Es importante el señalar que el servidor p</w:t>
      </w:r>
      <w:r w:rsidR="00EE08DA">
        <w:rPr>
          <w:rFonts w:ascii="Arial" w:eastAsia="Arial" w:hAnsi="Arial" w:cs="Arial"/>
          <w:color w:val="FF0000"/>
          <w:sz w:val="22"/>
          <w:szCs w:val="22"/>
          <w:lang w:val="es-MX"/>
        </w:rPr>
        <w:t>ú</w:t>
      </w:r>
      <w:r>
        <w:rPr>
          <w:rFonts w:ascii="Arial" w:eastAsia="Arial" w:hAnsi="Arial" w:cs="Arial"/>
          <w:color w:val="FF0000"/>
          <w:sz w:val="22"/>
          <w:szCs w:val="22"/>
          <w:lang w:val="es-MX"/>
        </w:rPr>
        <w:t>blico investigado omiti</w:t>
      </w:r>
      <w:r w:rsidR="00EE08DA">
        <w:rPr>
          <w:rFonts w:ascii="Arial" w:eastAsia="Arial" w:hAnsi="Arial" w:cs="Arial"/>
          <w:color w:val="FF0000"/>
          <w:sz w:val="22"/>
          <w:szCs w:val="22"/>
          <w:lang w:val="es-MX"/>
        </w:rPr>
        <w:t>ó</w:t>
      </w:r>
      <w:r>
        <w:rPr>
          <w:rFonts w:ascii="Arial" w:eastAsia="Arial" w:hAnsi="Arial" w:cs="Arial"/>
          <w:color w:val="FF0000"/>
          <w:sz w:val="22"/>
          <w:szCs w:val="22"/>
          <w:lang w:val="es-MX"/>
        </w:rPr>
        <w:t xml:space="preserve"> dolosamente incluir en su declaraci</w:t>
      </w:r>
      <w:r w:rsidR="00EE08DA">
        <w:rPr>
          <w:rFonts w:ascii="Arial" w:eastAsia="Arial" w:hAnsi="Arial" w:cs="Arial"/>
          <w:color w:val="FF0000"/>
          <w:sz w:val="22"/>
          <w:szCs w:val="22"/>
          <w:lang w:val="es-MX"/>
        </w:rPr>
        <w:t>ó</w:t>
      </w:r>
      <w:r>
        <w:rPr>
          <w:rFonts w:ascii="Arial" w:eastAsia="Arial" w:hAnsi="Arial" w:cs="Arial"/>
          <w:color w:val="FF0000"/>
          <w:sz w:val="22"/>
          <w:szCs w:val="22"/>
          <w:lang w:val="es-MX"/>
        </w:rPr>
        <w:t>n de conflito de intereses</w:t>
      </w:r>
      <w:r w:rsidR="00EE08DA">
        <w:rPr>
          <w:rFonts w:ascii="Arial" w:eastAsia="Arial" w:hAnsi="Arial" w:cs="Arial"/>
          <w:color w:val="FF0000"/>
          <w:sz w:val="22"/>
          <w:szCs w:val="22"/>
          <w:lang w:val="es-MX"/>
        </w:rPr>
        <w:t>,</w:t>
      </w:r>
      <w:r>
        <w:rPr>
          <w:rFonts w:ascii="Arial" w:eastAsia="Arial" w:hAnsi="Arial" w:cs="Arial"/>
          <w:color w:val="FF0000"/>
          <w:sz w:val="22"/>
          <w:szCs w:val="22"/>
          <w:lang w:val="es-MX"/>
        </w:rPr>
        <w:t xml:space="preserve"> su relacion laboral con la empresa que su hermana era socia del mismo.</w:t>
      </w:r>
    </w:p>
    <w:p w14:paraId="27229E4A" w14:textId="761F4184" w:rsidR="00EB7A57" w:rsidRDefault="00EB7A57" w:rsidP="008F0261">
      <w:pPr>
        <w:pStyle w:val="Prrafodelista"/>
        <w:ind w:left="720"/>
        <w:rPr>
          <w:rFonts w:ascii="Arial" w:eastAsia="Arial" w:hAnsi="Arial" w:cs="Arial"/>
          <w:color w:val="FF0000"/>
          <w:sz w:val="22"/>
          <w:szCs w:val="22"/>
          <w:lang w:val="es-MX"/>
        </w:rPr>
      </w:pPr>
    </w:p>
    <w:p w14:paraId="28214D7B" w14:textId="0F99ADF6" w:rsidR="00EB7A57" w:rsidRPr="001F3EB6" w:rsidRDefault="00EB7A57" w:rsidP="008F0261">
      <w:pPr>
        <w:pStyle w:val="Prrafodelista"/>
        <w:ind w:left="720"/>
        <w:rPr>
          <w:rFonts w:ascii="Arial" w:eastAsia="Arial" w:hAnsi="Arial" w:cs="Arial"/>
          <w:color w:val="FF0000"/>
          <w:sz w:val="22"/>
          <w:szCs w:val="22"/>
          <w:lang w:val="es-MX"/>
        </w:rPr>
      </w:pPr>
      <w:r>
        <w:rPr>
          <w:rFonts w:ascii="Arial" w:eastAsia="Arial" w:hAnsi="Arial" w:cs="Arial"/>
          <w:color w:val="FF0000"/>
          <w:sz w:val="22"/>
          <w:szCs w:val="22"/>
          <w:lang w:val="es-MX"/>
        </w:rPr>
        <w:t>El ele</w:t>
      </w:r>
      <w:r w:rsidR="00602BA7">
        <w:rPr>
          <w:rFonts w:ascii="Arial" w:eastAsia="Arial" w:hAnsi="Arial" w:cs="Arial"/>
          <w:color w:val="FF0000"/>
          <w:sz w:val="22"/>
          <w:szCs w:val="22"/>
          <w:lang w:val="es-MX"/>
        </w:rPr>
        <w:t>men</w:t>
      </w:r>
      <w:r>
        <w:rPr>
          <w:rFonts w:ascii="Arial" w:eastAsia="Arial" w:hAnsi="Arial" w:cs="Arial"/>
          <w:color w:val="FF0000"/>
          <w:sz w:val="22"/>
          <w:szCs w:val="22"/>
          <w:lang w:val="es-MX"/>
        </w:rPr>
        <w:t>to f</w:t>
      </w:r>
      <w:r w:rsidR="00602BA7">
        <w:rPr>
          <w:rFonts w:ascii="Arial" w:eastAsia="Arial" w:hAnsi="Arial" w:cs="Arial"/>
          <w:color w:val="FF0000"/>
          <w:sz w:val="22"/>
          <w:szCs w:val="22"/>
          <w:lang w:val="es-MX"/>
        </w:rPr>
        <w:t>á</w:t>
      </w:r>
      <w:r>
        <w:rPr>
          <w:rFonts w:ascii="Arial" w:eastAsia="Arial" w:hAnsi="Arial" w:cs="Arial"/>
          <w:color w:val="FF0000"/>
          <w:sz w:val="22"/>
          <w:szCs w:val="22"/>
          <w:lang w:val="es-MX"/>
        </w:rPr>
        <w:t>ctico es que hubo un contubernio entre la empresa y el servidor p</w:t>
      </w:r>
      <w:r w:rsidR="00602BA7">
        <w:rPr>
          <w:rFonts w:ascii="Arial" w:eastAsia="Arial" w:hAnsi="Arial" w:cs="Arial"/>
          <w:color w:val="FF0000"/>
          <w:sz w:val="22"/>
          <w:szCs w:val="22"/>
          <w:lang w:val="es-MX"/>
        </w:rPr>
        <w:t>ú</w:t>
      </w:r>
      <w:r>
        <w:rPr>
          <w:rFonts w:ascii="Arial" w:eastAsia="Arial" w:hAnsi="Arial" w:cs="Arial"/>
          <w:color w:val="FF0000"/>
          <w:sz w:val="22"/>
          <w:szCs w:val="22"/>
          <w:lang w:val="es-MX"/>
        </w:rPr>
        <w:t>blico mediante actas y omisiones que otorgaron una ventaja a la empresa y con esto se obtuvo un beneficio econ</w:t>
      </w:r>
      <w:r w:rsidR="00602BA7">
        <w:rPr>
          <w:rFonts w:ascii="Arial" w:eastAsia="Arial" w:hAnsi="Arial" w:cs="Arial"/>
          <w:color w:val="FF0000"/>
          <w:sz w:val="22"/>
          <w:szCs w:val="22"/>
          <w:lang w:val="es-MX"/>
        </w:rPr>
        <w:t>ó</w:t>
      </w:r>
      <w:r>
        <w:rPr>
          <w:rFonts w:ascii="Arial" w:eastAsia="Arial" w:hAnsi="Arial" w:cs="Arial"/>
          <w:color w:val="FF0000"/>
          <w:sz w:val="22"/>
          <w:szCs w:val="22"/>
          <w:lang w:val="es-MX"/>
        </w:rPr>
        <w:t>mico indebido para el particular y el servidor p</w:t>
      </w:r>
      <w:r w:rsidR="00602BA7">
        <w:rPr>
          <w:rFonts w:ascii="Arial" w:eastAsia="Arial" w:hAnsi="Arial" w:cs="Arial"/>
          <w:color w:val="FF0000"/>
          <w:sz w:val="22"/>
          <w:szCs w:val="22"/>
          <w:lang w:val="es-MX"/>
        </w:rPr>
        <w:t>ú</w:t>
      </w:r>
      <w:r>
        <w:rPr>
          <w:rFonts w:ascii="Arial" w:eastAsia="Arial" w:hAnsi="Arial" w:cs="Arial"/>
          <w:color w:val="FF0000"/>
          <w:sz w:val="22"/>
          <w:szCs w:val="22"/>
          <w:lang w:val="es-MX"/>
        </w:rPr>
        <w:t>blico en detrimento de</w:t>
      </w:r>
      <w:r w:rsidR="00602BA7">
        <w:rPr>
          <w:rFonts w:ascii="Arial" w:eastAsia="Arial" w:hAnsi="Arial" w:cs="Arial"/>
          <w:color w:val="FF0000"/>
          <w:sz w:val="22"/>
          <w:szCs w:val="22"/>
          <w:lang w:val="es-MX"/>
        </w:rPr>
        <w:t xml:space="preserve"> la hacienda pública, ya que se adquirió el bien con un sobreprecio del 20% además de que no se requirió la fianza y no se constató la prestación del servicio o entrega del bien.</w:t>
      </w:r>
      <w:r>
        <w:rPr>
          <w:rFonts w:ascii="Arial" w:eastAsia="Arial" w:hAnsi="Arial" w:cs="Arial"/>
          <w:color w:val="FF0000"/>
          <w:sz w:val="22"/>
          <w:szCs w:val="22"/>
          <w:lang w:val="es-MX"/>
        </w:rPr>
        <w:t xml:space="preserve">  </w:t>
      </w:r>
    </w:p>
    <w:p w14:paraId="2AA3C4C3" w14:textId="77777777" w:rsidR="00A8010E" w:rsidRPr="00A8010E" w:rsidRDefault="00A8010E" w:rsidP="00A8010E">
      <w:pPr>
        <w:spacing w:before="100" w:beforeAutospacing="1" w:after="100" w:afterAutospacing="1"/>
        <w:ind w:left="1440"/>
        <w:jc w:val="both"/>
        <w:rPr>
          <w:rFonts w:ascii="ArialMT" w:eastAsia="Times New Roman" w:hAnsi="ArialMT" w:cs="Times New Roman"/>
          <w:sz w:val="22"/>
          <w:szCs w:val="22"/>
          <w:lang w:eastAsia="es-ES_tradnl"/>
        </w:rPr>
      </w:pPr>
    </w:p>
    <w:p w14:paraId="2175D46E" w14:textId="3FE46D6C" w:rsidR="00A8010E" w:rsidRDefault="00A8010E" w:rsidP="00230CB2">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1.2.  ¿Cuáles son las reglas de contacto u otras que debió guardar la persona servidor público del ente público con relación a los licitantes, señale el fundamento? </w:t>
      </w:r>
    </w:p>
    <w:p w14:paraId="01F21A37" w14:textId="5C9A14A0" w:rsidR="00A849C1" w:rsidRPr="00A8010E" w:rsidRDefault="00A849C1" w:rsidP="00EE08DA">
      <w:pPr>
        <w:pStyle w:val="Prrafodelista"/>
        <w:spacing w:before="100" w:beforeAutospacing="1" w:after="100" w:afterAutospacing="1"/>
        <w:ind w:left="0"/>
        <w:rPr>
          <w:color w:val="FF0000"/>
          <w:lang w:eastAsia="es-ES_tradnl"/>
        </w:rPr>
      </w:pPr>
      <w:r w:rsidRPr="001F3EB6">
        <w:rPr>
          <w:rFonts w:ascii="ArialMT" w:hAnsi="ArialMT"/>
          <w:color w:val="FF0000"/>
          <w:sz w:val="22"/>
          <w:szCs w:val="22"/>
          <w:lang w:eastAsia="es-ES_tradnl"/>
        </w:rPr>
        <w:t xml:space="preserve">Según la Ley de Compras </w:t>
      </w:r>
      <w:r w:rsidR="00EE08DA">
        <w:rPr>
          <w:rFonts w:ascii="ArialMT" w:hAnsi="ArialMT"/>
          <w:color w:val="FF0000"/>
          <w:sz w:val="22"/>
          <w:szCs w:val="22"/>
          <w:lang w:eastAsia="es-ES_tradnl"/>
        </w:rPr>
        <w:t>Gubernamentales, Enajenaciones y Contratación de Servicios del Estado de Jalisco y sus Municipios</w:t>
      </w:r>
      <w:r w:rsidRPr="001F3EB6">
        <w:rPr>
          <w:rFonts w:ascii="ArialMT" w:hAnsi="ArialMT"/>
          <w:color w:val="FF0000"/>
          <w:sz w:val="22"/>
          <w:szCs w:val="22"/>
          <w:lang w:eastAsia="es-ES_tradnl"/>
        </w:rPr>
        <w:t xml:space="preserve"> en su art</w:t>
      </w:r>
      <w:r w:rsidR="00EE08DA">
        <w:rPr>
          <w:rFonts w:ascii="ArialMT" w:hAnsi="ArialMT"/>
          <w:color w:val="FF0000"/>
          <w:sz w:val="22"/>
          <w:szCs w:val="22"/>
          <w:lang w:eastAsia="es-ES_tradnl"/>
        </w:rPr>
        <w:t>í</w:t>
      </w:r>
      <w:r w:rsidRPr="001F3EB6">
        <w:rPr>
          <w:rFonts w:ascii="ArialMT" w:hAnsi="ArialMT"/>
          <w:color w:val="FF0000"/>
          <w:sz w:val="22"/>
          <w:szCs w:val="22"/>
          <w:lang w:eastAsia="es-ES_tradnl"/>
        </w:rPr>
        <w:t>culo 69 numeral sexto, no puede existir contacto entre los participantes y convocante desde la presentación de propuestas técnicas, no existe un protocolo</w:t>
      </w:r>
      <w:r w:rsidR="007B6544">
        <w:rPr>
          <w:rFonts w:ascii="ArialMT" w:hAnsi="ArialMT"/>
          <w:color w:val="FF0000"/>
          <w:sz w:val="22"/>
          <w:szCs w:val="22"/>
          <w:lang w:eastAsia="es-ES_tradnl"/>
        </w:rPr>
        <w:t xml:space="preserve"> o reglamento </w:t>
      </w:r>
      <w:r w:rsidR="007B6544" w:rsidRPr="001F3EB6">
        <w:rPr>
          <w:rFonts w:ascii="ArialMT" w:hAnsi="ArialMT"/>
          <w:color w:val="FF0000"/>
          <w:sz w:val="22"/>
          <w:szCs w:val="22"/>
          <w:lang w:eastAsia="es-ES_tradnl"/>
        </w:rPr>
        <w:t>que</w:t>
      </w:r>
      <w:r w:rsidRPr="001F3EB6">
        <w:rPr>
          <w:rFonts w:ascii="ArialMT" w:hAnsi="ArialMT"/>
          <w:color w:val="FF0000"/>
          <w:sz w:val="22"/>
          <w:szCs w:val="22"/>
          <w:lang w:eastAsia="es-ES_tradnl"/>
        </w:rPr>
        <w:t xml:space="preserve"> prevenga lo anterior y que establece el </w:t>
      </w:r>
      <w:r w:rsidR="007B6544">
        <w:rPr>
          <w:rFonts w:ascii="ArialMT" w:hAnsi="ArialMT"/>
          <w:color w:val="FF0000"/>
          <w:sz w:val="22"/>
          <w:szCs w:val="22"/>
          <w:lang w:eastAsia="es-ES_tradnl"/>
        </w:rPr>
        <w:t>ar</w:t>
      </w:r>
      <w:r w:rsidR="00EE08DA">
        <w:rPr>
          <w:rFonts w:ascii="ArialMT" w:hAnsi="ArialMT"/>
          <w:color w:val="FF0000"/>
          <w:sz w:val="22"/>
          <w:szCs w:val="22"/>
          <w:lang w:eastAsia="es-ES_tradnl"/>
        </w:rPr>
        <w:t>tículo</w:t>
      </w:r>
      <w:r w:rsidR="007B6544">
        <w:rPr>
          <w:rFonts w:ascii="ArialMT" w:hAnsi="ArialMT"/>
          <w:color w:val="FF0000"/>
          <w:sz w:val="22"/>
          <w:szCs w:val="22"/>
          <w:lang w:eastAsia="es-ES_tradnl"/>
        </w:rPr>
        <w:t xml:space="preserve"> </w:t>
      </w:r>
      <w:r w:rsidRPr="001F3EB6">
        <w:rPr>
          <w:rFonts w:ascii="ArialMT" w:hAnsi="ArialMT"/>
          <w:color w:val="FF0000"/>
          <w:sz w:val="22"/>
          <w:szCs w:val="22"/>
          <w:lang w:eastAsia="es-ES_tradnl"/>
        </w:rPr>
        <w:t xml:space="preserve">119 de la misma ley. </w:t>
      </w:r>
    </w:p>
    <w:p w14:paraId="4063360F" w14:textId="3E7C6DF6" w:rsidR="00A8010E" w:rsidRDefault="00A8010E" w:rsidP="00230CB2">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1.3.  ¿Considera que cualquiera de los hechos advertidos, podría haberse detectado durante la participación del OIC en el Comité de Adquisiciones? </w:t>
      </w:r>
    </w:p>
    <w:p w14:paraId="4693402C" w14:textId="48DB1834" w:rsidR="00230CB2" w:rsidRPr="00230CB2" w:rsidRDefault="00230CB2" w:rsidP="00230CB2">
      <w:pPr>
        <w:spacing w:before="100" w:beforeAutospacing="1" w:after="100" w:afterAutospacing="1"/>
        <w:ind w:left="567"/>
        <w:jc w:val="both"/>
        <w:rPr>
          <w:rFonts w:ascii="ArialMT" w:eastAsia="Times New Roman" w:hAnsi="ArialMT" w:cs="Times New Roman"/>
          <w:color w:val="FF0000"/>
          <w:sz w:val="22"/>
          <w:szCs w:val="22"/>
          <w:lang w:eastAsia="es-ES_tradnl"/>
        </w:rPr>
      </w:pPr>
      <w:r w:rsidRPr="00230CB2">
        <w:rPr>
          <w:rFonts w:ascii="ArialMT" w:eastAsia="Times New Roman" w:hAnsi="ArialMT" w:cs="Times New Roman"/>
          <w:color w:val="FF0000"/>
          <w:sz w:val="22"/>
          <w:szCs w:val="22"/>
          <w:lang w:eastAsia="es-ES_tradnl"/>
        </w:rPr>
        <w:t xml:space="preserve">Al participar el OIC en el </w:t>
      </w:r>
      <w:r w:rsidR="00EE08DA">
        <w:rPr>
          <w:rFonts w:ascii="ArialMT" w:eastAsia="Times New Roman" w:hAnsi="ArialMT" w:cs="Times New Roman"/>
          <w:color w:val="FF0000"/>
          <w:sz w:val="22"/>
          <w:szCs w:val="22"/>
          <w:lang w:eastAsia="es-ES_tradnl"/>
        </w:rPr>
        <w:t>C</w:t>
      </w:r>
      <w:r w:rsidRPr="00230CB2">
        <w:rPr>
          <w:rFonts w:ascii="ArialMT" w:eastAsia="Times New Roman" w:hAnsi="ArialMT" w:cs="Times New Roman"/>
          <w:color w:val="FF0000"/>
          <w:sz w:val="22"/>
          <w:szCs w:val="22"/>
          <w:lang w:eastAsia="es-ES_tradnl"/>
        </w:rPr>
        <w:t>omité</w:t>
      </w:r>
      <w:r w:rsidR="00EE08DA">
        <w:rPr>
          <w:rFonts w:ascii="ArialMT" w:eastAsia="Times New Roman" w:hAnsi="ArialMT" w:cs="Times New Roman"/>
          <w:color w:val="FF0000"/>
          <w:sz w:val="22"/>
          <w:szCs w:val="22"/>
          <w:lang w:eastAsia="es-ES_tradnl"/>
        </w:rPr>
        <w:t>,</w:t>
      </w:r>
      <w:r w:rsidRPr="00230CB2">
        <w:rPr>
          <w:rFonts w:ascii="ArialMT" w:eastAsia="Times New Roman" w:hAnsi="ArialMT" w:cs="Times New Roman"/>
          <w:color w:val="FF0000"/>
          <w:sz w:val="22"/>
          <w:szCs w:val="22"/>
          <w:lang w:eastAsia="es-ES_tradnl"/>
        </w:rPr>
        <w:t xml:space="preserve"> lo primero tiene que hacer es tener las declaraciones de intereses de los responsables del </w:t>
      </w:r>
      <w:r w:rsidR="00EE08DA">
        <w:rPr>
          <w:rFonts w:ascii="ArialMT" w:eastAsia="Times New Roman" w:hAnsi="ArialMT" w:cs="Times New Roman"/>
          <w:color w:val="FF0000"/>
          <w:sz w:val="22"/>
          <w:szCs w:val="22"/>
          <w:lang w:eastAsia="es-ES_tradnl"/>
        </w:rPr>
        <w:t>á</w:t>
      </w:r>
      <w:r w:rsidRPr="00230CB2">
        <w:rPr>
          <w:rFonts w:ascii="ArialMT" w:eastAsia="Times New Roman" w:hAnsi="ArialMT" w:cs="Times New Roman"/>
          <w:color w:val="FF0000"/>
          <w:sz w:val="22"/>
          <w:szCs w:val="22"/>
          <w:lang w:eastAsia="es-ES_tradnl"/>
        </w:rPr>
        <w:t xml:space="preserve">rea de compras y requirientes, asi como el curriculum presentado al </w:t>
      </w:r>
      <w:r w:rsidR="00EE08DA">
        <w:rPr>
          <w:rFonts w:ascii="ArialMT" w:eastAsia="Times New Roman" w:hAnsi="ArialMT" w:cs="Times New Roman"/>
          <w:color w:val="FF0000"/>
          <w:sz w:val="22"/>
          <w:szCs w:val="22"/>
          <w:lang w:eastAsia="es-ES_tradnl"/>
        </w:rPr>
        <w:t>á</w:t>
      </w:r>
      <w:r w:rsidRPr="00230CB2">
        <w:rPr>
          <w:rFonts w:ascii="ArialMT" w:eastAsia="Times New Roman" w:hAnsi="ArialMT" w:cs="Times New Roman"/>
          <w:color w:val="FF0000"/>
          <w:sz w:val="22"/>
          <w:szCs w:val="22"/>
          <w:lang w:eastAsia="es-ES_tradnl"/>
        </w:rPr>
        <w:t>rea administrativa.</w:t>
      </w:r>
    </w:p>
    <w:p w14:paraId="4E4D8358" w14:textId="48EC6F9B" w:rsidR="00230CB2" w:rsidRPr="00230CB2" w:rsidRDefault="00230CB2" w:rsidP="00230CB2">
      <w:pPr>
        <w:spacing w:before="100" w:beforeAutospacing="1" w:after="100" w:afterAutospacing="1"/>
        <w:ind w:left="567"/>
        <w:jc w:val="both"/>
        <w:rPr>
          <w:rFonts w:ascii="ArialMT" w:eastAsia="Times New Roman" w:hAnsi="ArialMT" w:cs="Times New Roman"/>
          <w:color w:val="FF0000"/>
          <w:sz w:val="22"/>
          <w:szCs w:val="22"/>
          <w:lang w:eastAsia="es-ES_tradnl"/>
        </w:rPr>
      </w:pPr>
      <w:r w:rsidRPr="00230CB2">
        <w:rPr>
          <w:rFonts w:ascii="ArialMT" w:eastAsia="Times New Roman" w:hAnsi="ArialMT" w:cs="Times New Roman"/>
          <w:color w:val="FF0000"/>
          <w:sz w:val="22"/>
          <w:szCs w:val="22"/>
          <w:lang w:eastAsia="es-ES_tradnl"/>
        </w:rPr>
        <w:t>El OIC podr</w:t>
      </w:r>
      <w:r w:rsidR="00EE08DA">
        <w:rPr>
          <w:rFonts w:ascii="ArialMT" w:eastAsia="Times New Roman" w:hAnsi="ArialMT" w:cs="Times New Roman"/>
          <w:color w:val="FF0000"/>
          <w:sz w:val="22"/>
          <w:szCs w:val="22"/>
          <w:lang w:eastAsia="es-ES_tradnl"/>
        </w:rPr>
        <w:t>í</w:t>
      </w:r>
      <w:r w:rsidRPr="00230CB2">
        <w:rPr>
          <w:rFonts w:ascii="ArialMT" w:eastAsia="Times New Roman" w:hAnsi="ArialMT" w:cs="Times New Roman"/>
          <w:color w:val="FF0000"/>
          <w:sz w:val="22"/>
          <w:szCs w:val="22"/>
          <w:lang w:eastAsia="es-ES_tradnl"/>
        </w:rPr>
        <w:t xml:space="preserve">a haber ordenado al ente </w:t>
      </w:r>
      <w:r w:rsidR="007B6544">
        <w:rPr>
          <w:rFonts w:ascii="ArialMT" w:eastAsia="Times New Roman" w:hAnsi="ArialMT" w:cs="Times New Roman"/>
          <w:color w:val="FF0000"/>
          <w:sz w:val="22"/>
          <w:szCs w:val="22"/>
          <w:lang w:eastAsia="es-ES_tradnl"/>
        </w:rPr>
        <w:t>p</w:t>
      </w:r>
      <w:r w:rsidR="00EE08DA">
        <w:rPr>
          <w:rFonts w:ascii="ArialMT" w:eastAsia="Times New Roman" w:hAnsi="ArialMT" w:cs="Times New Roman"/>
          <w:color w:val="FF0000"/>
          <w:sz w:val="22"/>
          <w:szCs w:val="22"/>
          <w:lang w:eastAsia="es-ES_tradnl"/>
        </w:rPr>
        <w:t>ú</w:t>
      </w:r>
      <w:r w:rsidR="007B6544">
        <w:rPr>
          <w:rFonts w:ascii="ArialMT" w:eastAsia="Times New Roman" w:hAnsi="ArialMT" w:cs="Times New Roman"/>
          <w:color w:val="FF0000"/>
          <w:sz w:val="22"/>
          <w:szCs w:val="22"/>
          <w:lang w:eastAsia="es-ES_tradnl"/>
        </w:rPr>
        <w:t xml:space="preserve">blico </w:t>
      </w:r>
      <w:r w:rsidRPr="00230CB2">
        <w:rPr>
          <w:rFonts w:ascii="ArialMT" w:eastAsia="Times New Roman" w:hAnsi="ArialMT" w:cs="Times New Roman"/>
          <w:color w:val="FF0000"/>
          <w:sz w:val="22"/>
          <w:szCs w:val="22"/>
          <w:lang w:eastAsia="es-ES_tradnl"/>
        </w:rPr>
        <w:t>que requiriera la fi</w:t>
      </w:r>
      <w:r w:rsidR="007B6544">
        <w:rPr>
          <w:rFonts w:ascii="ArialMT" w:eastAsia="Times New Roman" w:hAnsi="ArialMT" w:cs="Times New Roman"/>
          <w:color w:val="FF0000"/>
          <w:sz w:val="22"/>
          <w:szCs w:val="22"/>
          <w:lang w:eastAsia="es-ES_tradnl"/>
        </w:rPr>
        <w:t>a</w:t>
      </w:r>
      <w:r w:rsidRPr="00230CB2">
        <w:rPr>
          <w:rFonts w:ascii="ArialMT" w:eastAsia="Times New Roman" w:hAnsi="ArialMT" w:cs="Times New Roman"/>
          <w:color w:val="FF0000"/>
          <w:sz w:val="22"/>
          <w:szCs w:val="22"/>
          <w:lang w:eastAsia="es-ES_tradnl"/>
        </w:rPr>
        <w:t>nza a la empresa.</w:t>
      </w:r>
    </w:p>
    <w:p w14:paraId="0A813B56" w14:textId="1FC5ADC0" w:rsidR="00230CB2" w:rsidRPr="00230CB2" w:rsidRDefault="00230CB2" w:rsidP="00230CB2">
      <w:pPr>
        <w:spacing w:before="100" w:beforeAutospacing="1" w:after="100" w:afterAutospacing="1"/>
        <w:ind w:left="567"/>
        <w:jc w:val="both"/>
        <w:rPr>
          <w:rFonts w:ascii="ArialMT" w:eastAsia="Times New Roman" w:hAnsi="ArialMT" w:cs="Times New Roman"/>
          <w:color w:val="FF0000"/>
          <w:sz w:val="22"/>
          <w:szCs w:val="22"/>
          <w:lang w:eastAsia="es-ES_tradnl"/>
        </w:rPr>
      </w:pPr>
      <w:r w:rsidRPr="00230CB2">
        <w:rPr>
          <w:rFonts w:ascii="ArialMT" w:eastAsia="Times New Roman" w:hAnsi="ArialMT" w:cs="Times New Roman"/>
          <w:color w:val="FF0000"/>
          <w:sz w:val="22"/>
          <w:szCs w:val="22"/>
          <w:lang w:eastAsia="es-ES_tradnl"/>
        </w:rPr>
        <w:lastRenderedPageBreak/>
        <w:t>Adem</w:t>
      </w:r>
      <w:r w:rsidR="00EE08DA">
        <w:rPr>
          <w:rFonts w:ascii="ArialMT" w:eastAsia="Times New Roman" w:hAnsi="ArialMT" w:cs="Times New Roman"/>
          <w:color w:val="FF0000"/>
          <w:sz w:val="22"/>
          <w:szCs w:val="22"/>
          <w:lang w:eastAsia="es-ES_tradnl"/>
        </w:rPr>
        <w:t>á</w:t>
      </w:r>
      <w:r w:rsidRPr="00230CB2">
        <w:rPr>
          <w:rFonts w:ascii="ArialMT" w:eastAsia="Times New Roman" w:hAnsi="ArialMT" w:cs="Times New Roman"/>
          <w:color w:val="FF0000"/>
          <w:sz w:val="22"/>
          <w:szCs w:val="22"/>
          <w:lang w:eastAsia="es-ES_tradnl"/>
        </w:rPr>
        <w:t>s</w:t>
      </w:r>
      <w:r w:rsidR="00EE08DA">
        <w:rPr>
          <w:rFonts w:ascii="ArialMT" w:eastAsia="Times New Roman" w:hAnsi="ArialMT" w:cs="Times New Roman"/>
          <w:color w:val="FF0000"/>
          <w:sz w:val="22"/>
          <w:szCs w:val="22"/>
          <w:lang w:eastAsia="es-ES_tradnl"/>
        </w:rPr>
        <w:t>,</w:t>
      </w:r>
      <w:r w:rsidRPr="00230CB2">
        <w:rPr>
          <w:rFonts w:ascii="ArialMT" w:eastAsia="Times New Roman" w:hAnsi="ArialMT" w:cs="Times New Roman"/>
          <w:color w:val="FF0000"/>
          <w:sz w:val="22"/>
          <w:szCs w:val="22"/>
          <w:lang w:eastAsia="es-ES_tradnl"/>
        </w:rPr>
        <w:t xml:space="preserve"> podr</w:t>
      </w:r>
      <w:r w:rsidR="00EE08DA">
        <w:rPr>
          <w:rFonts w:ascii="ArialMT" w:eastAsia="Times New Roman" w:hAnsi="ArialMT" w:cs="Times New Roman"/>
          <w:color w:val="FF0000"/>
          <w:sz w:val="22"/>
          <w:szCs w:val="22"/>
          <w:lang w:eastAsia="es-ES_tradnl"/>
        </w:rPr>
        <w:t>í</w:t>
      </w:r>
      <w:r w:rsidRPr="00230CB2">
        <w:rPr>
          <w:rFonts w:ascii="ArialMT" w:eastAsia="Times New Roman" w:hAnsi="ArialMT" w:cs="Times New Roman"/>
          <w:color w:val="FF0000"/>
          <w:sz w:val="22"/>
          <w:szCs w:val="22"/>
          <w:lang w:eastAsia="es-ES_tradnl"/>
        </w:rPr>
        <w:t>a haber solicitado una auditor</w:t>
      </w:r>
      <w:r w:rsidR="00EE08DA">
        <w:rPr>
          <w:rFonts w:ascii="ArialMT" w:eastAsia="Times New Roman" w:hAnsi="ArialMT" w:cs="Times New Roman"/>
          <w:color w:val="FF0000"/>
          <w:sz w:val="22"/>
          <w:szCs w:val="22"/>
          <w:lang w:eastAsia="es-ES_tradnl"/>
        </w:rPr>
        <w:t>í</w:t>
      </w:r>
      <w:r w:rsidRPr="00230CB2">
        <w:rPr>
          <w:rFonts w:ascii="ArialMT" w:eastAsia="Times New Roman" w:hAnsi="ArialMT" w:cs="Times New Roman"/>
          <w:color w:val="FF0000"/>
          <w:sz w:val="22"/>
          <w:szCs w:val="22"/>
          <w:lang w:eastAsia="es-ES_tradnl"/>
        </w:rPr>
        <w:t>a de cumplimiento en la entrega del servicio (men</w:t>
      </w:r>
      <w:r w:rsidR="00EE08DA">
        <w:rPr>
          <w:rFonts w:ascii="ArialMT" w:eastAsia="Times New Roman" w:hAnsi="ArialMT" w:cs="Times New Roman"/>
          <w:color w:val="FF0000"/>
          <w:sz w:val="22"/>
          <w:szCs w:val="22"/>
          <w:lang w:eastAsia="es-ES_tradnl"/>
        </w:rPr>
        <w:t>ú</w:t>
      </w:r>
      <w:r w:rsidRPr="00230CB2">
        <w:rPr>
          <w:rFonts w:ascii="ArialMT" w:eastAsia="Times New Roman" w:hAnsi="ArialMT" w:cs="Times New Roman"/>
          <w:color w:val="FF0000"/>
          <w:sz w:val="22"/>
          <w:szCs w:val="22"/>
          <w:lang w:eastAsia="es-ES_tradnl"/>
        </w:rPr>
        <w:t>s a empledos) para verificar cu</w:t>
      </w:r>
      <w:r w:rsidR="00EE08DA">
        <w:rPr>
          <w:rFonts w:ascii="ArialMT" w:eastAsia="Times New Roman" w:hAnsi="ArialMT" w:cs="Times New Roman"/>
          <w:color w:val="FF0000"/>
          <w:sz w:val="22"/>
          <w:szCs w:val="22"/>
          <w:lang w:eastAsia="es-ES_tradnl"/>
        </w:rPr>
        <w:t>á</w:t>
      </w:r>
      <w:r w:rsidRPr="00230CB2">
        <w:rPr>
          <w:rFonts w:ascii="ArialMT" w:eastAsia="Times New Roman" w:hAnsi="ArialMT" w:cs="Times New Roman"/>
          <w:color w:val="FF0000"/>
          <w:sz w:val="22"/>
          <w:szCs w:val="22"/>
          <w:lang w:eastAsia="es-ES_tradnl"/>
        </w:rPr>
        <w:t>ntos estaba entregando y cu</w:t>
      </w:r>
      <w:r w:rsidR="00EE08DA">
        <w:rPr>
          <w:rFonts w:ascii="ArialMT" w:eastAsia="Times New Roman" w:hAnsi="ArialMT" w:cs="Times New Roman"/>
          <w:color w:val="FF0000"/>
          <w:sz w:val="22"/>
          <w:szCs w:val="22"/>
          <w:lang w:eastAsia="es-ES_tradnl"/>
        </w:rPr>
        <w:t>á</w:t>
      </w:r>
      <w:r w:rsidRPr="00230CB2">
        <w:rPr>
          <w:rFonts w:ascii="ArialMT" w:eastAsia="Times New Roman" w:hAnsi="ArialMT" w:cs="Times New Roman"/>
          <w:color w:val="FF0000"/>
          <w:sz w:val="22"/>
          <w:szCs w:val="22"/>
          <w:lang w:eastAsia="es-ES_tradnl"/>
        </w:rPr>
        <w:t>ntos se le estaban pagando.</w:t>
      </w:r>
    </w:p>
    <w:p w14:paraId="7F24B9E2" w14:textId="518615C1" w:rsidR="00230CB2" w:rsidRPr="00230CB2" w:rsidRDefault="00230CB2" w:rsidP="00230CB2">
      <w:pPr>
        <w:spacing w:before="100" w:beforeAutospacing="1" w:after="100" w:afterAutospacing="1"/>
        <w:ind w:left="567"/>
        <w:jc w:val="both"/>
        <w:rPr>
          <w:rFonts w:ascii="ArialMT" w:eastAsia="Times New Roman" w:hAnsi="ArialMT" w:cs="Times New Roman"/>
          <w:color w:val="FF0000"/>
          <w:sz w:val="22"/>
          <w:szCs w:val="22"/>
          <w:lang w:eastAsia="es-ES_tradnl"/>
        </w:rPr>
      </w:pPr>
      <w:r w:rsidRPr="00230CB2">
        <w:rPr>
          <w:rFonts w:ascii="ArialMT" w:eastAsia="Times New Roman" w:hAnsi="ArialMT" w:cs="Times New Roman"/>
          <w:color w:val="FF0000"/>
          <w:sz w:val="22"/>
          <w:szCs w:val="22"/>
          <w:lang w:eastAsia="es-ES_tradnl"/>
        </w:rPr>
        <w:t>Previo a cualquier licitaci</w:t>
      </w:r>
      <w:r w:rsidR="00EE08DA">
        <w:rPr>
          <w:rFonts w:ascii="ArialMT" w:eastAsia="Times New Roman" w:hAnsi="ArialMT" w:cs="Times New Roman"/>
          <w:color w:val="FF0000"/>
          <w:sz w:val="22"/>
          <w:szCs w:val="22"/>
          <w:lang w:eastAsia="es-ES_tradnl"/>
        </w:rPr>
        <w:t>ó</w:t>
      </w:r>
      <w:r w:rsidRPr="00230CB2">
        <w:rPr>
          <w:rFonts w:ascii="ArialMT" w:eastAsia="Times New Roman" w:hAnsi="ArialMT" w:cs="Times New Roman"/>
          <w:color w:val="FF0000"/>
          <w:sz w:val="22"/>
          <w:szCs w:val="22"/>
          <w:lang w:eastAsia="es-ES_tradnl"/>
        </w:rPr>
        <w:t>n y valorando el monto, solicitar a las autoridades p</w:t>
      </w:r>
      <w:r w:rsidR="00EE08DA">
        <w:rPr>
          <w:rFonts w:ascii="ArialMT" w:eastAsia="Times New Roman" w:hAnsi="ArialMT" w:cs="Times New Roman"/>
          <w:color w:val="FF0000"/>
          <w:sz w:val="22"/>
          <w:szCs w:val="22"/>
          <w:lang w:eastAsia="es-ES_tradnl"/>
        </w:rPr>
        <w:t>artici</w:t>
      </w:r>
      <w:r w:rsidRPr="00230CB2">
        <w:rPr>
          <w:rFonts w:ascii="ArialMT" w:eastAsia="Times New Roman" w:hAnsi="ArialMT" w:cs="Times New Roman"/>
          <w:color w:val="FF0000"/>
          <w:sz w:val="22"/>
          <w:szCs w:val="22"/>
          <w:lang w:eastAsia="es-ES_tradnl"/>
        </w:rPr>
        <w:t xml:space="preserve">pantes una carta firmada </w:t>
      </w:r>
      <w:r w:rsidR="00EB7A57">
        <w:rPr>
          <w:rFonts w:ascii="ArialMT" w:eastAsia="Times New Roman" w:hAnsi="ArialMT" w:cs="Times New Roman"/>
          <w:color w:val="FF0000"/>
          <w:sz w:val="22"/>
          <w:szCs w:val="22"/>
          <w:lang w:eastAsia="es-ES_tradnl"/>
        </w:rPr>
        <w:t>donde</w:t>
      </w:r>
      <w:r w:rsidRPr="00230CB2">
        <w:rPr>
          <w:rFonts w:ascii="ArialMT" w:eastAsia="Times New Roman" w:hAnsi="ArialMT" w:cs="Times New Roman"/>
          <w:color w:val="FF0000"/>
          <w:sz w:val="22"/>
          <w:szCs w:val="22"/>
          <w:lang w:eastAsia="es-ES_tradnl"/>
        </w:rPr>
        <w:t xml:space="preserve"> constara que tienen o no conflcito de inter</w:t>
      </w:r>
      <w:r w:rsidR="00EE08DA">
        <w:rPr>
          <w:rFonts w:ascii="ArialMT" w:eastAsia="Times New Roman" w:hAnsi="ArialMT" w:cs="Times New Roman"/>
          <w:color w:val="FF0000"/>
          <w:sz w:val="22"/>
          <w:szCs w:val="22"/>
          <w:lang w:eastAsia="es-ES_tradnl"/>
        </w:rPr>
        <w:t>é</w:t>
      </w:r>
      <w:r w:rsidRPr="00230CB2">
        <w:rPr>
          <w:rFonts w:ascii="ArialMT" w:eastAsia="Times New Roman" w:hAnsi="ArialMT" w:cs="Times New Roman"/>
          <w:color w:val="FF0000"/>
          <w:sz w:val="22"/>
          <w:szCs w:val="22"/>
          <w:lang w:eastAsia="es-ES_tradnl"/>
        </w:rPr>
        <w:t>s.</w:t>
      </w:r>
    </w:p>
    <w:p w14:paraId="65D92EC1" w14:textId="77777777" w:rsidR="00230CB2" w:rsidRPr="00A8010E" w:rsidRDefault="00230CB2" w:rsidP="00230CB2">
      <w:pPr>
        <w:spacing w:before="100" w:beforeAutospacing="1" w:after="100" w:afterAutospacing="1"/>
        <w:ind w:left="1440"/>
        <w:jc w:val="both"/>
        <w:rPr>
          <w:rFonts w:ascii="ArialMT" w:eastAsia="Times New Roman" w:hAnsi="ArialMT" w:cs="Times New Roman"/>
          <w:sz w:val="22"/>
          <w:szCs w:val="22"/>
          <w:lang w:eastAsia="es-ES_tradnl"/>
        </w:rPr>
      </w:pPr>
    </w:p>
    <w:p w14:paraId="391DBCD5" w14:textId="77777777" w:rsidR="00A8010E" w:rsidRPr="00A8010E" w:rsidRDefault="00A8010E" w:rsidP="00A8010E">
      <w:pPr>
        <w:numPr>
          <w:ilvl w:val="0"/>
          <w:numId w:val="2"/>
        </w:num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Respecto de la investigación, substanciación y resolución de los procedimientos de responsabilidad administrativa. </w:t>
      </w:r>
    </w:p>
    <w:p w14:paraId="44E219FC" w14:textId="465F96B1" w:rsidR="00A8010E" w:rsidRDefault="00A8010E" w:rsidP="003633DC">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2.1  En la etapa de investigación, qué diligencias ordenaría para allegarse de información y pruebas necesarias para soportar la presentación de un eventual Informe de Presunta Responsabilidad Administrativa (IPRA). ¿Qué características debe contener el IPRA en un caso como el descrito? </w:t>
      </w:r>
    </w:p>
    <w:p w14:paraId="00D952AA" w14:textId="745670CA"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a) Iniciar de oficio la investigación agregando las notas periodísticas y describiendo y transcribiendo lo que señalan</w:t>
      </w:r>
      <w:r>
        <w:rPr>
          <w:rFonts w:ascii="ArialMT" w:eastAsia="Times New Roman" w:hAnsi="ArialMT" w:cs="Times New Roman"/>
          <w:color w:val="FF0000"/>
          <w:sz w:val="22"/>
          <w:szCs w:val="22"/>
          <w:lang w:eastAsia="es-ES_tradnl"/>
        </w:rPr>
        <w:t>, orden</w:t>
      </w:r>
      <w:r w:rsidR="00EB7A57">
        <w:rPr>
          <w:rFonts w:ascii="ArialMT" w:eastAsia="Times New Roman" w:hAnsi="ArialMT" w:cs="Times New Roman"/>
          <w:color w:val="FF0000"/>
          <w:sz w:val="22"/>
          <w:szCs w:val="22"/>
          <w:lang w:eastAsia="es-ES_tradnl"/>
        </w:rPr>
        <w:t>á</w:t>
      </w:r>
      <w:r>
        <w:rPr>
          <w:rFonts w:ascii="ArialMT" w:eastAsia="Times New Roman" w:hAnsi="ArialMT" w:cs="Times New Roman"/>
          <w:color w:val="FF0000"/>
          <w:sz w:val="22"/>
          <w:szCs w:val="22"/>
          <w:lang w:eastAsia="es-ES_tradnl"/>
        </w:rPr>
        <w:t>ndose la radicaci</w:t>
      </w:r>
      <w:r w:rsidR="00EB7A57">
        <w:rPr>
          <w:rFonts w:ascii="ArialMT" w:eastAsia="Times New Roman" w:hAnsi="ArialMT" w:cs="Times New Roman"/>
          <w:color w:val="FF0000"/>
          <w:sz w:val="22"/>
          <w:szCs w:val="22"/>
          <w:lang w:eastAsia="es-ES_tradnl"/>
        </w:rPr>
        <w:t>ó</w:t>
      </w:r>
      <w:r>
        <w:rPr>
          <w:rFonts w:ascii="ArialMT" w:eastAsia="Times New Roman" w:hAnsi="ArialMT" w:cs="Times New Roman"/>
          <w:color w:val="FF0000"/>
          <w:sz w:val="22"/>
          <w:szCs w:val="22"/>
          <w:lang w:eastAsia="es-ES_tradnl"/>
        </w:rPr>
        <w:t>n de la investigaci</w:t>
      </w:r>
      <w:r w:rsidR="00EB7A57">
        <w:rPr>
          <w:rFonts w:ascii="ArialMT" w:eastAsia="Times New Roman" w:hAnsi="ArialMT" w:cs="Times New Roman"/>
          <w:color w:val="FF0000"/>
          <w:sz w:val="22"/>
          <w:szCs w:val="22"/>
          <w:lang w:eastAsia="es-ES_tradnl"/>
        </w:rPr>
        <w:t>ó</w:t>
      </w:r>
      <w:r>
        <w:rPr>
          <w:rFonts w:ascii="ArialMT" w:eastAsia="Times New Roman" w:hAnsi="ArialMT" w:cs="Times New Roman"/>
          <w:color w:val="FF0000"/>
          <w:sz w:val="22"/>
          <w:szCs w:val="22"/>
          <w:lang w:eastAsia="es-ES_tradnl"/>
        </w:rPr>
        <w:t>n</w:t>
      </w:r>
      <w:r w:rsidRPr="003633DC">
        <w:rPr>
          <w:rFonts w:ascii="ArialMT" w:eastAsia="Times New Roman" w:hAnsi="ArialMT" w:cs="Times New Roman"/>
          <w:color w:val="FF0000"/>
          <w:sz w:val="22"/>
          <w:szCs w:val="22"/>
          <w:lang w:eastAsia="es-ES_tradnl"/>
        </w:rPr>
        <w:t>.</w:t>
      </w:r>
    </w:p>
    <w:p w14:paraId="2C44F9A2" w14:textId="010E1E25"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 xml:space="preserve">b) Recabar declaración de testigo </w:t>
      </w:r>
      <w:r w:rsidR="00EB7A57">
        <w:rPr>
          <w:rFonts w:ascii="ArialMT" w:eastAsia="Times New Roman" w:hAnsi="ArialMT" w:cs="Times New Roman"/>
          <w:color w:val="FF0000"/>
          <w:sz w:val="22"/>
          <w:szCs w:val="22"/>
          <w:lang w:eastAsia="es-ES_tradnl"/>
        </w:rPr>
        <w:t xml:space="preserve">del </w:t>
      </w:r>
      <w:r w:rsidRPr="003633DC">
        <w:rPr>
          <w:rFonts w:ascii="ArialMT" w:eastAsia="Times New Roman" w:hAnsi="ArialMT" w:cs="Times New Roman"/>
          <w:color w:val="FF0000"/>
          <w:sz w:val="22"/>
          <w:szCs w:val="22"/>
          <w:lang w:eastAsia="es-ES_tradnl"/>
        </w:rPr>
        <w:t>ex servidor público, quien estaba adscrito a la Coordinador de Servicios Generales.</w:t>
      </w:r>
    </w:p>
    <w:p w14:paraId="6D298654" w14:textId="5BA4B147"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 xml:space="preserve">c) Solicitar </w:t>
      </w:r>
      <w:r>
        <w:rPr>
          <w:rFonts w:ascii="ArialMT" w:eastAsia="Times New Roman" w:hAnsi="ArialMT" w:cs="Times New Roman"/>
          <w:color w:val="FF0000"/>
          <w:sz w:val="22"/>
          <w:szCs w:val="22"/>
          <w:lang w:eastAsia="es-ES_tradnl"/>
        </w:rPr>
        <w:t xml:space="preserve">y recabar </w:t>
      </w:r>
      <w:r w:rsidRPr="003633DC">
        <w:rPr>
          <w:rFonts w:ascii="ArialMT" w:eastAsia="Times New Roman" w:hAnsi="ArialMT" w:cs="Times New Roman"/>
          <w:color w:val="FF0000"/>
          <w:sz w:val="22"/>
          <w:szCs w:val="22"/>
          <w:lang w:eastAsia="es-ES_tradnl"/>
        </w:rPr>
        <w:t>copias certificadas de la totalidad del expediente de licitación.</w:t>
      </w:r>
    </w:p>
    <w:p w14:paraId="6D133EFC" w14:textId="40F9105B"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 xml:space="preserve">d) Solicitar información a la Comisión </w:t>
      </w:r>
      <w:r w:rsidR="00EB7A57">
        <w:rPr>
          <w:rFonts w:ascii="ArialMT" w:eastAsia="Times New Roman" w:hAnsi="ArialMT" w:cs="Times New Roman"/>
          <w:color w:val="FF0000"/>
          <w:sz w:val="22"/>
          <w:szCs w:val="22"/>
          <w:lang w:eastAsia="es-ES_tradnl"/>
        </w:rPr>
        <w:t>N</w:t>
      </w:r>
      <w:r w:rsidRPr="003633DC">
        <w:rPr>
          <w:rFonts w:ascii="ArialMT" w:eastAsia="Times New Roman" w:hAnsi="ArialMT" w:cs="Times New Roman"/>
          <w:color w:val="FF0000"/>
          <w:sz w:val="22"/>
          <w:szCs w:val="22"/>
          <w:lang w:eastAsia="es-ES_tradnl"/>
        </w:rPr>
        <w:t xml:space="preserve">acional </w:t>
      </w:r>
      <w:r w:rsidR="00EB7A57">
        <w:rPr>
          <w:rFonts w:ascii="ArialMT" w:eastAsia="Times New Roman" w:hAnsi="ArialMT" w:cs="Times New Roman"/>
          <w:color w:val="FF0000"/>
          <w:sz w:val="22"/>
          <w:szCs w:val="22"/>
          <w:lang w:eastAsia="es-ES_tradnl"/>
        </w:rPr>
        <w:t>B</w:t>
      </w:r>
      <w:r w:rsidRPr="003633DC">
        <w:rPr>
          <w:rFonts w:ascii="ArialMT" w:eastAsia="Times New Roman" w:hAnsi="ArialMT" w:cs="Times New Roman"/>
          <w:color w:val="FF0000"/>
          <w:sz w:val="22"/>
          <w:szCs w:val="22"/>
          <w:lang w:eastAsia="es-ES_tradnl"/>
        </w:rPr>
        <w:t>ancaria sobre las cuentas bancarias de la empresa, del servidor público señalado, de su hermana y dependientes económicos.</w:t>
      </w:r>
    </w:p>
    <w:p w14:paraId="16643286" w14:textId="3882D447"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e) Solicitar copias certificadas de las declaraciones patrimoniales y de intereses presentadas por el servidor público señalado.</w:t>
      </w:r>
    </w:p>
    <w:p w14:paraId="1CF30497" w14:textId="56FDC1F9"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 xml:space="preserve">f) </w:t>
      </w:r>
      <w:r w:rsidR="00EB7A57">
        <w:rPr>
          <w:rFonts w:ascii="ArialMT" w:eastAsia="Times New Roman" w:hAnsi="ArialMT" w:cs="Times New Roman"/>
          <w:color w:val="FF0000"/>
          <w:sz w:val="22"/>
          <w:szCs w:val="22"/>
          <w:lang w:eastAsia="es-ES_tradnl"/>
        </w:rPr>
        <w:t>R</w:t>
      </w:r>
      <w:r>
        <w:rPr>
          <w:rFonts w:ascii="ArialMT" w:eastAsia="Times New Roman" w:hAnsi="ArialMT" w:cs="Times New Roman"/>
          <w:color w:val="FF0000"/>
          <w:sz w:val="22"/>
          <w:szCs w:val="22"/>
          <w:lang w:eastAsia="es-ES_tradnl"/>
        </w:rPr>
        <w:t>ecabar testimonios de los encargados del comedor para acreditar el n</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meros de men</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s entregados duante el contraro.</w:t>
      </w:r>
    </w:p>
    <w:p w14:paraId="5C24EF26" w14:textId="1F7AF3F5" w:rsid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 xml:space="preserve">g) Citar al personal de </w:t>
      </w:r>
      <w:r w:rsidR="00EB7A57">
        <w:rPr>
          <w:rFonts w:ascii="ArialMT" w:eastAsia="Times New Roman" w:hAnsi="ArialMT" w:cs="Times New Roman"/>
          <w:color w:val="FF0000"/>
          <w:sz w:val="22"/>
          <w:szCs w:val="22"/>
          <w:lang w:eastAsia="es-ES_tradnl"/>
        </w:rPr>
        <w:t>S</w:t>
      </w:r>
      <w:r w:rsidRPr="003633DC">
        <w:rPr>
          <w:rFonts w:ascii="ArialMT" w:eastAsia="Times New Roman" w:hAnsi="ArialMT" w:cs="Times New Roman"/>
          <w:color w:val="FF0000"/>
          <w:sz w:val="22"/>
          <w:szCs w:val="22"/>
          <w:lang w:eastAsia="es-ES_tradnl"/>
        </w:rPr>
        <w:t xml:space="preserve">ervicios </w:t>
      </w:r>
      <w:r w:rsidR="00EB7A57">
        <w:rPr>
          <w:rFonts w:ascii="ArialMT" w:eastAsia="Times New Roman" w:hAnsi="ArialMT" w:cs="Times New Roman"/>
          <w:color w:val="FF0000"/>
          <w:sz w:val="22"/>
          <w:szCs w:val="22"/>
          <w:lang w:eastAsia="es-ES_tradnl"/>
        </w:rPr>
        <w:t>G</w:t>
      </w:r>
      <w:r w:rsidRPr="003633DC">
        <w:rPr>
          <w:rFonts w:ascii="ArialMT" w:eastAsia="Times New Roman" w:hAnsi="ArialMT" w:cs="Times New Roman"/>
          <w:color w:val="FF0000"/>
          <w:sz w:val="22"/>
          <w:szCs w:val="22"/>
          <w:lang w:eastAsia="es-ES_tradnl"/>
        </w:rPr>
        <w:t>enerales</w:t>
      </w:r>
      <w:r w:rsidR="00DD2926">
        <w:rPr>
          <w:rFonts w:ascii="ArialMT" w:eastAsia="Times New Roman" w:hAnsi="ArialMT" w:cs="Times New Roman"/>
          <w:color w:val="FF0000"/>
          <w:sz w:val="22"/>
          <w:szCs w:val="22"/>
          <w:lang w:eastAsia="es-ES_tradnl"/>
        </w:rPr>
        <w:t xml:space="preserve"> y del </w:t>
      </w:r>
      <w:r w:rsidR="00EB7A57">
        <w:rPr>
          <w:rFonts w:ascii="ArialMT" w:eastAsia="Times New Roman" w:hAnsi="ArialMT" w:cs="Times New Roman"/>
          <w:color w:val="FF0000"/>
          <w:sz w:val="22"/>
          <w:szCs w:val="22"/>
          <w:lang w:eastAsia="es-ES_tradnl"/>
        </w:rPr>
        <w:t>C</w:t>
      </w:r>
      <w:r w:rsidR="00DD2926">
        <w:rPr>
          <w:rFonts w:ascii="ArialMT" w:eastAsia="Times New Roman" w:hAnsi="ArialMT" w:cs="Times New Roman"/>
          <w:color w:val="FF0000"/>
          <w:sz w:val="22"/>
          <w:szCs w:val="22"/>
          <w:lang w:eastAsia="es-ES_tradnl"/>
        </w:rPr>
        <w:t xml:space="preserve">omité de </w:t>
      </w:r>
      <w:r w:rsidR="00EB7A57">
        <w:rPr>
          <w:rFonts w:ascii="ArialMT" w:eastAsia="Times New Roman" w:hAnsi="ArialMT" w:cs="Times New Roman"/>
          <w:color w:val="FF0000"/>
          <w:sz w:val="22"/>
          <w:szCs w:val="22"/>
          <w:lang w:eastAsia="es-ES_tradnl"/>
        </w:rPr>
        <w:t>A</w:t>
      </w:r>
      <w:r w:rsidR="00DD2926">
        <w:rPr>
          <w:rFonts w:ascii="ArialMT" w:eastAsia="Times New Roman" w:hAnsi="ArialMT" w:cs="Times New Roman"/>
          <w:color w:val="FF0000"/>
          <w:sz w:val="22"/>
          <w:szCs w:val="22"/>
          <w:lang w:eastAsia="es-ES_tradnl"/>
        </w:rPr>
        <w:t>dquisisiones que participaron</w:t>
      </w:r>
      <w:r w:rsidR="00EB7A57">
        <w:rPr>
          <w:rFonts w:ascii="ArialMT" w:eastAsia="Times New Roman" w:hAnsi="ArialMT" w:cs="Times New Roman"/>
          <w:color w:val="FF0000"/>
          <w:sz w:val="22"/>
          <w:szCs w:val="22"/>
          <w:lang w:eastAsia="es-ES_tradnl"/>
        </w:rPr>
        <w:t xml:space="preserve"> </w:t>
      </w:r>
      <w:r w:rsidR="00EC6C41">
        <w:rPr>
          <w:rFonts w:ascii="ArialMT" w:eastAsia="Times New Roman" w:hAnsi="ArialMT" w:cs="Times New Roman"/>
          <w:color w:val="FF0000"/>
          <w:sz w:val="22"/>
          <w:szCs w:val="22"/>
          <w:lang w:eastAsia="es-ES_tradnl"/>
        </w:rPr>
        <w:t>en la licitación</w:t>
      </w:r>
      <w:r w:rsidR="00DD2926">
        <w:rPr>
          <w:rFonts w:ascii="ArialMT" w:eastAsia="Times New Roman" w:hAnsi="ArialMT" w:cs="Times New Roman"/>
          <w:color w:val="FF0000"/>
          <w:sz w:val="22"/>
          <w:szCs w:val="22"/>
          <w:lang w:eastAsia="es-ES_tradnl"/>
        </w:rPr>
        <w:t xml:space="preserve"> </w:t>
      </w:r>
      <w:r w:rsidRPr="003633DC">
        <w:rPr>
          <w:rFonts w:ascii="ArialMT" w:eastAsia="Times New Roman" w:hAnsi="ArialMT" w:cs="Times New Roman"/>
          <w:color w:val="FF0000"/>
          <w:sz w:val="22"/>
          <w:szCs w:val="22"/>
          <w:lang w:eastAsia="es-ES_tradnl"/>
        </w:rPr>
        <w:t xml:space="preserve">para que declaren </w:t>
      </w:r>
      <w:r>
        <w:rPr>
          <w:rFonts w:ascii="ArialMT" w:eastAsia="Times New Roman" w:hAnsi="ArialMT" w:cs="Times New Roman"/>
          <w:color w:val="FF0000"/>
          <w:sz w:val="22"/>
          <w:szCs w:val="22"/>
          <w:lang w:eastAsia="es-ES_tradnl"/>
        </w:rPr>
        <w:t>sobre los hechos mediante interrogatorio</w:t>
      </w:r>
      <w:r w:rsidR="00EB7A57">
        <w:rPr>
          <w:rFonts w:ascii="ArialMT" w:eastAsia="Times New Roman" w:hAnsi="ArialMT" w:cs="Times New Roman"/>
          <w:color w:val="FF0000"/>
          <w:sz w:val="22"/>
          <w:szCs w:val="22"/>
          <w:lang w:eastAsia="es-ES_tradnl"/>
        </w:rPr>
        <w:t>,</w:t>
      </w:r>
      <w:r>
        <w:rPr>
          <w:rFonts w:ascii="ArialMT" w:eastAsia="Times New Roman" w:hAnsi="ArialMT" w:cs="Times New Roman"/>
          <w:color w:val="FF0000"/>
          <w:sz w:val="22"/>
          <w:szCs w:val="22"/>
          <w:lang w:eastAsia="es-ES_tradnl"/>
        </w:rPr>
        <w:t xml:space="preserve"> primero con preguntas abiertas y posterio</w:t>
      </w:r>
      <w:r w:rsidR="00EB7A57">
        <w:rPr>
          <w:rFonts w:ascii="ArialMT" w:eastAsia="Times New Roman" w:hAnsi="ArialMT" w:cs="Times New Roman"/>
          <w:color w:val="FF0000"/>
          <w:sz w:val="22"/>
          <w:szCs w:val="22"/>
          <w:lang w:eastAsia="es-ES_tradnl"/>
        </w:rPr>
        <w:t>r</w:t>
      </w:r>
      <w:r>
        <w:rPr>
          <w:rFonts w:ascii="ArialMT" w:eastAsia="Times New Roman" w:hAnsi="ArialMT" w:cs="Times New Roman"/>
          <w:color w:val="FF0000"/>
          <w:sz w:val="22"/>
          <w:szCs w:val="22"/>
          <w:lang w:eastAsia="es-ES_tradnl"/>
        </w:rPr>
        <w:t xml:space="preserve">mente mediante preguntas cerradas </w:t>
      </w:r>
      <w:r w:rsidRPr="003633DC">
        <w:rPr>
          <w:rFonts w:ascii="ArialMT" w:eastAsia="Times New Roman" w:hAnsi="ArialMT" w:cs="Times New Roman"/>
          <w:color w:val="FF0000"/>
          <w:sz w:val="22"/>
          <w:szCs w:val="22"/>
          <w:lang w:eastAsia="es-ES_tradnl"/>
        </w:rPr>
        <w:t>y si existió o no una carta de entera satisfacción.</w:t>
      </w:r>
      <w:r w:rsidR="00DD2926">
        <w:rPr>
          <w:rFonts w:ascii="ArialMT" w:eastAsia="Times New Roman" w:hAnsi="ArialMT" w:cs="Times New Roman"/>
          <w:color w:val="FF0000"/>
          <w:sz w:val="22"/>
          <w:szCs w:val="22"/>
          <w:lang w:eastAsia="es-ES_tradnl"/>
        </w:rPr>
        <w:t xml:space="preserve"> No citando al presunto responsable de la fatla administrativa. </w:t>
      </w:r>
    </w:p>
    <w:p w14:paraId="5B1273F8" w14:textId="77777777" w:rsidR="003633DC" w:rsidRP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h) Solicitar copia certificada del expediente laboral y currículum del trabajador investigado al área administrativa del Congreso.</w:t>
      </w:r>
    </w:p>
    <w:p w14:paraId="56684843" w14:textId="2EF219AF" w:rsid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sidRPr="003633DC">
        <w:rPr>
          <w:rFonts w:ascii="ArialMT" w:eastAsia="Times New Roman" w:hAnsi="ArialMT" w:cs="Times New Roman"/>
          <w:color w:val="FF0000"/>
          <w:sz w:val="22"/>
          <w:szCs w:val="22"/>
          <w:lang w:eastAsia="es-ES_tradnl"/>
        </w:rPr>
        <w:t>i) Solicitar el historial de actas y asambleas en copia certificada al registro público de la propiedad y comercio y protocolización de los mismos, de la empresa señalada, de los socios, del servidor público investigado y su hermana.</w:t>
      </w:r>
    </w:p>
    <w:p w14:paraId="1566B467" w14:textId="4080A0C2" w:rsidR="003633DC"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j) Solicitar informacion al Registro P</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blico de la prop</w:t>
      </w:r>
      <w:r w:rsidR="00EB7A57">
        <w:rPr>
          <w:rFonts w:ascii="ArialMT" w:eastAsia="Times New Roman" w:hAnsi="ArialMT" w:cs="Times New Roman"/>
          <w:color w:val="FF0000"/>
          <w:sz w:val="22"/>
          <w:szCs w:val="22"/>
          <w:lang w:eastAsia="es-ES_tradnl"/>
        </w:rPr>
        <w:t>ie</w:t>
      </w:r>
      <w:r>
        <w:rPr>
          <w:rFonts w:ascii="ArialMT" w:eastAsia="Times New Roman" w:hAnsi="ArialMT" w:cs="Times New Roman"/>
          <w:color w:val="FF0000"/>
          <w:sz w:val="22"/>
          <w:szCs w:val="22"/>
          <w:lang w:eastAsia="es-ES_tradnl"/>
        </w:rPr>
        <w:t>dad sobre las propi</w:t>
      </w:r>
      <w:r w:rsidR="00DD2926">
        <w:rPr>
          <w:rFonts w:ascii="ArialMT" w:eastAsia="Times New Roman" w:hAnsi="ArialMT" w:cs="Times New Roman"/>
          <w:color w:val="FF0000"/>
          <w:sz w:val="22"/>
          <w:szCs w:val="22"/>
          <w:lang w:eastAsia="es-ES_tradnl"/>
        </w:rPr>
        <w:t>e</w:t>
      </w:r>
      <w:r>
        <w:rPr>
          <w:rFonts w:ascii="ArialMT" w:eastAsia="Times New Roman" w:hAnsi="ArialMT" w:cs="Times New Roman"/>
          <w:color w:val="FF0000"/>
          <w:sz w:val="22"/>
          <w:szCs w:val="22"/>
          <w:lang w:eastAsia="es-ES_tradnl"/>
        </w:rPr>
        <w:t>dades de la empresa, particulares y servidores p</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blicos involucrados para observar si incrementaron su patr</w:t>
      </w:r>
      <w:r w:rsidR="00DD2926">
        <w:rPr>
          <w:rFonts w:ascii="ArialMT" w:eastAsia="Times New Roman" w:hAnsi="ArialMT" w:cs="Times New Roman"/>
          <w:color w:val="FF0000"/>
          <w:sz w:val="22"/>
          <w:szCs w:val="22"/>
          <w:lang w:eastAsia="es-ES_tradnl"/>
        </w:rPr>
        <w:t>imonio</w:t>
      </w:r>
      <w:r>
        <w:rPr>
          <w:rFonts w:ascii="ArialMT" w:eastAsia="Times New Roman" w:hAnsi="ArialMT" w:cs="Times New Roman"/>
          <w:color w:val="FF0000"/>
          <w:sz w:val="22"/>
          <w:szCs w:val="22"/>
          <w:lang w:eastAsia="es-ES_tradnl"/>
        </w:rPr>
        <w:t xml:space="preserve"> en inmuebles durante los </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ltimos 05 años.</w:t>
      </w:r>
    </w:p>
    <w:p w14:paraId="26CD6A13" w14:textId="10684F8F" w:rsidR="00DD2926" w:rsidRDefault="00DD2926" w:rsidP="003633DC">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lastRenderedPageBreak/>
        <w:t>k) Solicitar una auditor</w:t>
      </w:r>
      <w:r w:rsidR="00EB7A57">
        <w:rPr>
          <w:rFonts w:ascii="ArialMT" w:eastAsia="Times New Roman" w:hAnsi="ArialMT" w:cs="Times New Roman"/>
          <w:color w:val="FF0000"/>
          <w:sz w:val="22"/>
          <w:szCs w:val="22"/>
          <w:lang w:eastAsia="es-ES_tradnl"/>
        </w:rPr>
        <w:t>í</w:t>
      </w:r>
      <w:r>
        <w:rPr>
          <w:rFonts w:ascii="ArialMT" w:eastAsia="Times New Roman" w:hAnsi="ArialMT" w:cs="Times New Roman"/>
          <w:color w:val="FF0000"/>
          <w:sz w:val="22"/>
          <w:szCs w:val="22"/>
          <w:lang w:eastAsia="es-ES_tradnl"/>
        </w:rPr>
        <w:t>a forense, para que se haga una revisi</w:t>
      </w:r>
      <w:r w:rsidR="00EB7A57">
        <w:rPr>
          <w:rFonts w:ascii="ArialMT" w:eastAsia="Times New Roman" w:hAnsi="ArialMT" w:cs="Times New Roman"/>
          <w:color w:val="FF0000"/>
          <w:sz w:val="22"/>
          <w:szCs w:val="22"/>
          <w:lang w:eastAsia="es-ES_tradnl"/>
        </w:rPr>
        <w:t>ó</w:t>
      </w:r>
      <w:r>
        <w:rPr>
          <w:rFonts w:ascii="ArialMT" w:eastAsia="Times New Roman" w:hAnsi="ArialMT" w:cs="Times New Roman"/>
          <w:color w:val="FF0000"/>
          <w:sz w:val="22"/>
          <w:szCs w:val="22"/>
          <w:lang w:eastAsia="es-ES_tradnl"/>
        </w:rPr>
        <w:t>n de cumplimiento pero tambi</w:t>
      </w:r>
      <w:r w:rsidR="00EB7A57">
        <w:rPr>
          <w:rFonts w:ascii="ArialMT" w:eastAsia="Times New Roman" w:hAnsi="ArialMT" w:cs="Times New Roman"/>
          <w:color w:val="FF0000"/>
          <w:sz w:val="22"/>
          <w:szCs w:val="22"/>
          <w:lang w:eastAsia="es-ES_tradnl"/>
        </w:rPr>
        <w:t>é</w:t>
      </w:r>
      <w:r>
        <w:rPr>
          <w:rFonts w:ascii="ArialMT" w:eastAsia="Times New Roman" w:hAnsi="ArialMT" w:cs="Times New Roman"/>
          <w:color w:val="FF0000"/>
          <w:sz w:val="22"/>
          <w:szCs w:val="22"/>
          <w:lang w:eastAsia="es-ES_tradnl"/>
        </w:rPr>
        <w:t>n de situaciones f</w:t>
      </w:r>
      <w:r w:rsidR="00EB7A57">
        <w:rPr>
          <w:rFonts w:ascii="ArialMT" w:eastAsia="Times New Roman" w:hAnsi="ArialMT" w:cs="Times New Roman"/>
          <w:color w:val="FF0000"/>
          <w:sz w:val="22"/>
          <w:szCs w:val="22"/>
          <w:lang w:eastAsia="es-ES_tradnl"/>
        </w:rPr>
        <w:t>á</w:t>
      </w:r>
      <w:r>
        <w:rPr>
          <w:rFonts w:ascii="ArialMT" w:eastAsia="Times New Roman" w:hAnsi="ArialMT" w:cs="Times New Roman"/>
          <w:color w:val="FF0000"/>
          <w:sz w:val="22"/>
          <w:szCs w:val="22"/>
          <w:lang w:eastAsia="es-ES_tradnl"/>
        </w:rPr>
        <w:t>cticas y de derecho, que nos determine paso a paso desde la requi</w:t>
      </w:r>
      <w:r w:rsidR="00EB7A57">
        <w:rPr>
          <w:rFonts w:ascii="ArialMT" w:eastAsia="Times New Roman" w:hAnsi="ArialMT" w:cs="Times New Roman"/>
          <w:color w:val="FF0000"/>
          <w:sz w:val="22"/>
          <w:szCs w:val="22"/>
          <w:lang w:eastAsia="es-ES_tradnl"/>
        </w:rPr>
        <w:t>s</w:t>
      </w:r>
      <w:r>
        <w:rPr>
          <w:rFonts w:ascii="ArialMT" w:eastAsia="Times New Roman" w:hAnsi="ArialMT" w:cs="Times New Roman"/>
          <w:color w:val="FF0000"/>
          <w:sz w:val="22"/>
          <w:szCs w:val="22"/>
          <w:lang w:eastAsia="es-ES_tradnl"/>
        </w:rPr>
        <w:t>i</w:t>
      </w:r>
      <w:r w:rsidR="00EB7A57">
        <w:rPr>
          <w:rFonts w:ascii="ArialMT" w:eastAsia="Times New Roman" w:hAnsi="ArialMT" w:cs="Times New Roman"/>
          <w:color w:val="FF0000"/>
          <w:sz w:val="22"/>
          <w:szCs w:val="22"/>
          <w:lang w:eastAsia="es-ES_tradnl"/>
        </w:rPr>
        <w:t>c</w:t>
      </w:r>
      <w:r>
        <w:rPr>
          <w:rFonts w:ascii="ArialMT" w:eastAsia="Times New Roman" w:hAnsi="ArialMT" w:cs="Times New Roman"/>
          <w:color w:val="FF0000"/>
          <w:sz w:val="22"/>
          <w:szCs w:val="22"/>
          <w:lang w:eastAsia="es-ES_tradnl"/>
        </w:rPr>
        <w:t>i</w:t>
      </w:r>
      <w:r w:rsidR="00EB7A57">
        <w:rPr>
          <w:rFonts w:ascii="ArialMT" w:eastAsia="Times New Roman" w:hAnsi="ArialMT" w:cs="Times New Roman"/>
          <w:color w:val="FF0000"/>
          <w:sz w:val="22"/>
          <w:szCs w:val="22"/>
          <w:lang w:eastAsia="es-ES_tradnl"/>
        </w:rPr>
        <w:t>ó</w:t>
      </w:r>
      <w:r>
        <w:rPr>
          <w:rFonts w:ascii="ArialMT" w:eastAsia="Times New Roman" w:hAnsi="ArialMT" w:cs="Times New Roman"/>
          <w:color w:val="FF0000"/>
          <w:sz w:val="22"/>
          <w:szCs w:val="22"/>
          <w:lang w:eastAsia="es-ES_tradnl"/>
        </w:rPr>
        <w:t>n y aprobaci</w:t>
      </w:r>
      <w:r w:rsidR="00EB7A57">
        <w:rPr>
          <w:rFonts w:ascii="ArialMT" w:eastAsia="Times New Roman" w:hAnsi="ArialMT" w:cs="Times New Roman"/>
          <w:color w:val="FF0000"/>
          <w:sz w:val="22"/>
          <w:szCs w:val="22"/>
          <w:lang w:eastAsia="es-ES_tradnl"/>
        </w:rPr>
        <w:t>ó</w:t>
      </w:r>
      <w:r>
        <w:rPr>
          <w:rFonts w:ascii="ArialMT" w:eastAsia="Times New Roman" w:hAnsi="ArialMT" w:cs="Times New Roman"/>
          <w:color w:val="FF0000"/>
          <w:sz w:val="22"/>
          <w:szCs w:val="22"/>
          <w:lang w:eastAsia="es-ES_tradnl"/>
        </w:rPr>
        <w:t>n de las bases de la licitación hasta su adjudicación y cumplimiento.</w:t>
      </w:r>
    </w:p>
    <w:p w14:paraId="25E67290" w14:textId="35215DBD" w:rsidR="005766AB" w:rsidRDefault="005766AB" w:rsidP="003633DC">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 xml:space="preserve">L) Solicitar al </w:t>
      </w:r>
      <w:r w:rsidR="00EB7A57">
        <w:rPr>
          <w:rFonts w:ascii="ArialMT" w:eastAsia="Times New Roman" w:hAnsi="ArialMT" w:cs="Times New Roman"/>
          <w:color w:val="FF0000"/>
          <w:sz w:val="22"/>
          <w:szCs w:val="22"/>
          <w:lang w:eastAsia="es-ES_tradnl"/>
        </w:rPr>
        <w:t>á</w:t>
      </w:r>
      <w:r>
        <w:rPr>
          <w:rFonts w:ascii="ArialMT" w:eastAsia="Times New Roman" w:hAnsi="ArialMT" w:cs="Times New Roman"/>
          <w:color w:val="FF0000"/>
          <w:sz w:val="22"/>
          <w:szCs w:val="22"/>
          <w:lang w:eastAsia="es-ES_tradnl"/>
        </w:rPr>
        <w:t>rea administrativa un informe sobre las medidas de contingencia ordenadas a los trabajadores por la pandemia de COVID 19, en donde informen puntualmente el n</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mero de trabajadores que laboraron presencialmente y el n</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mero de trabajadores que laboraron de manera virtual.</w:t>
      </w:r>
    </w:p>
    <w:p w14:paraId="18D02B6A" w14:textId="5AAC59DA" w:rsidR="003633DC" w:rsidRPr="00A8010E" w:rsidRDefault="003633DC" w:rsidP="003633DC">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 xml:space="preserve"> </w:t>
      </w:r>
    </w:p>
    <w:p w14:paraId="310BB3E3" w14:textId="431BC4E4" w:rsidR="00A8010E" w:rsidRDefault="00A8010E" w:rsidP="003633DC">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2.2  Describa cuáles pudieran ser las posibles faltas administrativas que advierte, si son graves o no graves y quién o quiénes pudieron haberlas cometido. ¿Advierte la comisión de algún delito? </w:t>
      </w:r>
    </w:p>
    <w:p w14:paraId="6C333819" w14:textId="16184031" w:rsidR="001F3EB6" w:rsidRPr="001F3EB6" w:rsidRDefault="001F3EB6" w:rsidP="003633DC">
      <w:pPr>
        <w:spacing w:before="100" w:beforeAutospacing="1" w:after="100" w:afterAutospacing="1"/>
        <w:ind w:left="284"/>
        <w:jc w:val="both"/>
        <w:rPr>
          <w:rFonts w:ascii="ArialMT" w:eastAsia="Times New Roman" w:hAnsi="ArialMT" w:cs="Times New Roman"/>
          <w:color w:val="FF0000"/>
          <w:sz w:val="22"/>
          <w:szCs w:val="22"/>
          <w:lang w:eastAsia="es-ES_tradnl"/>
        </w:rPr>
      </w:pPr>
      <w:r w:rsidRPr="001F3EB6">
        <w:rPr>
          <w:rFonts w:ascii="ArialMT" w:eastAsia="Times New Roman" w:hAnsi="ArialMT" w:cs="Times New Roman"/>
          <w:color w:val="FF0000"/>
          <w:sz w:val="22"/>
          <w:szCs w:val="22"/>
          <w:lang w:eastAsia="es-ES_tradnl"/>
        </w:rPr>
        <w:t xml:space="preserve">a) Presuntas </w:t>
      </w:r>
      <w:r w:rsidR="00EB7A57">
        <w:rPr>
          <w:rFonts w:ascii="ArialMT" w:eastAsia="Times New Roman" w:hAnsi="ArialMT" w:cs="Times New Roman"/>
          <w:color w:val="FF0000"/>
          <w:sz w:val="22"/>
          <w:szCs w:val="22"/>
          <w:lang w:eastAsia="es-ES_tradnl"/>
        </w:rPr>
        <w:t>f</w:t>
      </w:r>
      <w:r w:rsidRPr="001F3EB6">
        <w:rPr>
          <w:rFonts w:ascii="ArialMT" w:eastAsia="Times New Roman" w:hAnsi="ArialMT" w:cs="Times New Roman"/>
          <w:color w:val="FF0000"/>
          <w:sz w:val="22"/>
          <w:szCs w:val="22"/>
          <w:lang w:eastAsia="es-ES_tradnl"/>
        </w:rPr>
        <w:t>altas graves atribuibles al servidor público: ocultamiento de conflicto de interés (art</w:t>
      </w:r>
      <w:r w:rsidR="00EB7A57">
        <w:rPr>
          <w:rFonts w:ascii="ArialMT" w:eastAsia="Times New Roman" w:hAnsi="ArialMT" w:cs="Times New Roman"/>
          <w:color w:val="FF0000"/>
          <w:sz w:val="22"/>
          <w:szCs w:val="22"/>
          <w:lang w:eastAsia="es-ES_tradnl"/>
        </w:rPr>
        <w:t>.</w:t>
      </w:r>
      <w:r w:rsidRPr="001F3EB6">
        <w:rPr>
          <w:rFonts w:ascii="ArialMT" w:eastAsia="Times New Roman" w:hAnsi="ArialMT" w:cs="Times New Roman"/>
          <w:color w:val="FF0000"/>
          <w:sz w:val="22"/>
          <w:szCs w:val="22"/>
          <w:lang w:eastAsia="es-ES_tradnl"/>
        </w:rPr>
        <w:t xml:space="preserve"> 60 de la LGRA) Actuación bajo conflicto de interés (art</w:t>
      </w:r>
      <w:r w:rsidR="00EB7A57">
        <w:rPr>
          <w:rFonts w:ascii="ArialMT" w:eastAsia="Times New Roman" w:hAnsi="ArialMT" w:cs="Times New Roman"/>
          <w:color w:val="FF0000"/>
          <w:sz w:val="22"/>
          <w:szCs w:val="22"/>
          <w:lang w:eastAsia="es-ES_tradnl"/>
        </w:rPr>
        <w:t>.</w:t>
      </w:r>
      <w:r w:rsidRPr="001F3EB6">
        <w:rPr>
          <w:rFonts w:ascii="ArialMT" w:eastAsia="Times New Roman" w:hAnsi="ArialMT" w:cs="Times New Roman"/>
          <w:color w:val="FF0000"/>
          <w:sz w:val="22"/>
          <w:szCs w:val="22"/>
          <w:lang w:eastAsia="es-ES_tradnl"/>
        </w:rPr>
        <w:t xml:space="preserve"> 58 de la LGRA), en caso de acreditar que existió el pago del 10% de la obra se acreditaría el cohecho previsto en el art. 52 de la LGRA)</w:t>
      </w:r>
      <w:r w:rsidR="00EB7A57">
        <w:rPr>
          <w:rFonts w:ascii="ArialMT" w:eastAsia="Times New Roman" w:hAnsi="ArialMT" w:cs="Times New Roman"/>
          <w:color w:val="FF0000"/>
          <w:sz w:val="22"/>
          <w:szCs w:val="22"/>
          <w:lang w:eastAsia="es-ES_tradnl"/>
        </w:rPr>
        <w:t>.</w:t>
      </w:r>
    </w:p>
    <w:p w14:paraId="03FBF652" w14:textId="3B634548" w:rsidR="001F3EB6" w:rsidRPr="001F3EB6" w:rsidRDefault="001F3EB6" w:rsidP="003633DC">
      <w:pPr>
        <w:spacing w:before="100" w:beforeAutospacing="1" w:after="100" w:afterAutospacing="1"/>
        <w:ind w:left="284"/>
        <w:jc w:val="both"/>
        <w:rPr>
          <w:rFonts w:ascii="ArialMT" w:eastAsia="Times New Roman" w:hAnsi="ArialMT" w:cs="Times New Roman"/>
          <w:color w:val="FF0000"/>
          <w:sz w:val="22"/>
          <w:szCs w:val="22"/>
          <w:lang w:eastAsia="es-ES_tradnl"/>
        </w:rPr>
      </w:pPr>
      <w:r w:rsidRPr="001F3EB6">
        <w:rPr>
          <w:rFonts w:ascii="ArialMT" w:eastAsia="Times New Roman" w:hAnsi="ArialMT" w:cs="Times New Roman"/>
          <w:color w:val="FF0000"/>
          <w:sz w:val="22"/>
          <w:szCs w:val="22"/>
          <w:lang w:eastAsia="es-ES_tradnl"/>
        </w:rPr>
        <w:t xml:space="preserve">b) Al particular se le puede acreditar la falta </w:t>
      </w:r>
      <w:r w:rsidR="00DD2926">
        <w:rPr>
          <w:rFonts w:ascii="ArialMT" w:eastAsia="Times New Roman" w:hAnsi="ArialMT" w:cs="Times New Roman"/>
          <w:color w:val="FF0000"/>
          <w:sz w:val="22"/>
          <w:szCs w:val="22"/>
          <w:lang w:eastAsia="es-ES_tradnl"/>
        </w:rPr>
        <w:t xml:space="preserve">administrativa </w:t>
      </w:r>
      <w:r w:rsidRPr="001F3EB6">
        <w:rPr>
          <w:rFonts w:ascii="ArialMT" w:eastAsia="Times New Roman" w:hAnsi="ArialMT" w:cs="Times New Roman"/>
          <w:color w:val="FF0000"/>
          <w:sz w:val="22"/>
          <w:szCs w:val="22"/>
          <w:lang w:eastAsia="es-ES_tradnl"/>
        </w:rPr>
        <w:t xml:space="preserve">grave </w:t>
      </w:r>
      <w:r w:rsidR="00DD2926">
        <w:rPr>
          <w:rFonts w:ascii="ArialMT" w:eastAsia="Times New Roman" w:hAnsi="ArialMT" w:cs="Times New Roman"/>
          <w:color w:val="FF0000"/>
          <w:sz w:val="22"/>
          <w:szCs w:val="22"/>
          <w:lang w:eastAsia="es-ES_tradnl"/>
        </w:rPr>
        <w:t xml:space="preserve">tipificada como </w:t>
      </w:r>
      <w:r w:rsidRPr="001F3EB6">
        <w:rPr>
          <w:rFonts w:ascii="ArialMT" w:eastAsia="Times New Roman" w:hAnsi="ArialMT" w:cs="Times New Roman"/>
          <w:color w:val="FF0000"/>
          <w:sz w:val="22"/>
          <w:szCs w:val="22"/>
          <w:lang w:eastAsia="es-ES_tradnl"/>
        </w:rPr>
        <w:t>soborno prevista en el art. 66 de la LGRA</w:t>
      </w:r>
      <w:r w:rsidR="00EB7A57">
        <w:rPr>
          <w:rFonts w:ascii="ArialMT" w:eastAsia="Times New Roman" w:hAnsi="ArialMT" w:cs="Times New Roman"/>
          <w:color w:val="FF0000"/>
          <w:sz w:val="22"/>
          <w:szCs w:val="22"/>
          <w:lang w:eastAsia="es-ES_tradnl"/>
        </w:rPr>
        <w:t>.</w:t>
      </w:r>
    </w:p>
    <w:p w14:paraId="1B5D33E0" w14:textId="2BF09F57" w:rsidR="001F3EB6" w:rsidRDefault="001F3EB6" w:rsidP="003633DC">
      <w:pPr>
        <w:spacing w:before="100" w:beforeAutospacing="1" w:after="100" w:afterAutospacing="1"/>
        <w:ind w:left="284"/>
        <w:jc w:val="both"/>
        <w:rPr>
          <w:rFonts w:ascii="ArialMT" w:eastAsia="Times New Roman" w:hAnsi="ArialMT" w:cs="Times New Roman"/>
          <w:color w:val="FF0000"/>
          <w:sz w:val="22"/>
          <w:szCs w:val="22"/>
          <w:lang w:eastAsia="es-ES_tradnl"/>
        </w:rPr>
      </w:pPr>
      <w:r w:rsidRPr="001F3EB6">
        <w:rPr>
          <w:rFonts w:ascii="ArialMT" w:eastAsia="Times New Roman" w:hAnsi="ArialMT" w:cs="Times New Roman"/>
          <w:color w:val="FF0000"/>
          <w:sz w:val="22"/>
          <w:szCs w:val="22"/>
          <w:lang w:eastAsia="es-ES_tradnl"/>
        </w:rPr>
        <w:t xml:space="preserve">c) Podría </w:t>
      </w:r>
      <w:r w:rsidR="00DD2926">
        <w:rPr>
          <w:rFonts w:ascii="ArialMT" w:eastAsia="Times New Roman" w:hAnsi="ArialMT" w:cs="Times New Roman"/>
          <w:color w:val="FF0000"/>
          <w:sz w:val="22"/>
          <w:szCs w:val="22"/>
          <w:lang w:eastAsia="es-ES_tradnl"/>
        </w:rPr>
        <w:t>acreditarse</w:t>
      </w:r>
      <w:r>
        <w:rPr>
          <w:rFonts w:ascii="ArialMT" w:eastAsia="Times New Roman" w:hAnsi="ArialMT" w:cs="Times New Roman"/>
          <w:color w:val="FF0000"/>
          <w:sz w:val="22"/>
          <w:szCs w:val="22"/>
          <w:lang w:eastAsia="es-ES_tradnl"/>
        </w:rPr>
        <w:t xml:space="preserve"> al servidor p</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blico</w:t>
      </w:r>
      <w:r w:rsidRPr="001F3EB6">
        <w:rPr>
          <w:rFonts w:ascii="ArialMT" w:eastAsia="Times New Roman" w:hAnsi="ArialMT" w:cs="Times New Roman"/>
          <w:color w:val="FF0000"/>
          <w:sz w:val="22"/>
          <w:szCs w:val="22"/>
          <w:lang w:eastAsia="es-ES_tradnl"/>
        </w:rPr>
        <w:t xml:space="preserve"> los delitos de cohecho y enriquecimiento ilícito previstos en los artículos 147 y 153 del Código </w:t>
      </w:r>
      <w:r w:rsidR="00EB7A57">
        <w:rPr>
          <w:rFonts w:ascii="ArialMT" w:eastAsia="Times New Roman" w:hAnsi="ArialMT" w:cs="Times New Roman"/>
          <w:color w:val="FF0000"/>
          <w:sz w:val="22"/>
          <w:szCs w:val="22"/>
          <w:lang w:eastAsia="es-ES_tradnl"/>
        </w:rPr>
        <w:t>P</w:t>
      </w:r>
      <w:r w:rsidRPr="001F3EB6">
        <w:rPr>
          <w:rFonts w:ascii="ArialMT" w:eastAsia="Times New Roman" w:hAnsi="ArialMT" w:cs="Times New Roman"/>
          <w:color w:val="FF0000"/>
          <w:sz w:val="22"/>
          <w:szCs w:val="22"/>
          <w:lang w:eastAsia="es-ES_tradnl"/>
        </w:rPr>
        <w:t>enal para el Estado de Jalisco</w:t>
      </w:r>
      <w:r w:rsidR="00DD2926">
        <w:rPr>
          <w:rFonts w:ascii="ArialMT" w:eastAsia="Times New Roman" w:hAnsi="ArialMT" w:cs="Times New Roman"/>
          <w:color w:val="FF0000"/>
          <w:sz w:val="22"/>
          <w:szCs w:val="22"/>
          <w:lang w:eastAsia="es-ES_tradnl"/>
        </w:rPr>
        <w:t>, como autor mediato, por una conducta dolosa, de acci</w:t>
      </w:r>
      <w:r w:rsidR="00EB7A57">
        <w:rPr>
          <w:rFonts w:ascii="ArialMT" w:eastAsia="Times New Roman" w:hAnsi="ArialMT" w:cs="Times New Roman"/>
          <w:color w:val="FF0000"/>
          <w:sz w:val="22"/>
          <w:szCs w:val="22"/>
          <w:lang w:eastAsia="es-ES_tradnl"/>
        </w:rPr>
        <w:t>ó</w:t>
      </w:r>
      <w:r w:rsidR="00DD2926">
        <w:rPr>
          <w:rFonts w:ascii="ArialMT" w:eastAsia="Times New Roman" w:hAnsi="ArialMT" w:cs="Times New Roman"/>
          <w:color w:val="FF0000"/>
          <w:sz w:val="22"/>
          <w:szCs w:val="22"/>
          <w:lang w:eastAsia="es-ES_tradnl"/>
        </w:rPr>
        <w:t>n o de omision según se acredite con las pruebas desahogadas</w:t>
      </w:r>
      <w:r w:rsidRPr="001F3EB6">
        <w:rPr>
          <w:rFonts w:ascii="ArialMT" w:eastAsia="Times New Roman" w:hAnsi="ArialMT" w:cs="Times New Roman"/>
          <w:color w:val="FF0000"/>
          <w:sz w:val="22"/>
          <w:szCs w:val="22"/>
          <w:lang w:eastAsia="es-ES_tradnl"/>
        </w:rPr>
        <w:t>.</w:t>
      </w:r>
    </w:p>
    <w:p w14:paraId="640047E7" w14:textId="17CE9852" w:rsidR="001F3EB6" w:rsidRPr="001F3EB6" w:rsidRDefault="001F3EB6" w:rsidP="003633DC">
      <w:pPr>
        <w:spacing w:before="100" w:beforeAutospacing="1" w:after="100" w:afterAutospacing="1"/>
        <w:ind w:left="284"/>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d)</w:t>
      </w:r>
      <w:r w:rsidR="00622344">
        <w:rPr>
          <w:rFonts w:ascii="ArialMT" w:eastAsia="Times New Roman" w:hAnsi="ArialMT" w:cs="Times New Roman"/>
          <w:color w:val="FF0000"/>
          <w:sz w:val="22"/>
          <w:szCs w:val="22"/>
          <w:lang w:eastAsia="es-ES_tradnl"/>
        </w:rPr>
        <w:t xml:space="preserve"> </w:t>
      </w:r>
      <w:r w:rsidR="00EB7A57">
        <w:rPr>
          <w:rFonts w:ascii="ArialMT" w:eastAsia="Times New Roman" w:hAnsi="ArialMT" w:cs="Times New Roman"/>
          <w:color w:val="FF0000"/>
          <w:sz w:val="22"/>
          <w:szCs w:val="22"/>
          <w:lang w:eastAsia="es-ES_tradnl"/>
        </w:rPr>
        <w:t>A</w:t>
      </w:r>
      <w:r w:rsidR="00622344">
        <w:rPr>
          <w:rFonts w:ascii="ArialMT" w:eastAsia="Times New Roman" w:hAnsi="ArialMT" w:cs="Times New Roman"/>
          <w:color w:val="FF0000"/>
          <w:sz w:val="22"/>
          <w:szCs w:val="22"/>
          <w:lang w:eastAsia="es-ES_tradnl"/>
        </w:rPr>
        <w:t>l part</w:t>
      </w:r>
      <w:r w:rsidR="00EB7A57">
        <w:rPr>
          <w:rFonts w:ascii="ArialMT" w:eastAsia="Times New Roman" w:hAnsi="ArialMT" w:cs="Times New Roman"/>
          <w:color w:val="FF0000"/>
          <w:sz w:val="22"/>
          <w:szCs w:val="22"/>
          <w:lang w:eastAsia="es-ES_tradnl"/>
        </w:rPr>
        <w:t>i</w:t>
      </w:r>
      <w:r w:rsidR="00622344">
        <w:rPr>
          <w:rFonts w:ascii="ArialMT" w:eastAsia="Times New Roman" w:hAnsi="ArialMT" w:cs="Times New Roman"/>
          <w:color w:val="FF0000"/>
          <w:sz w:val="22"/>
          <w:szCs w:val="22"/>
          <w:lang w:eastAsia="es-ES_tradnl"/>
        </w:rPr>
        <w:t>cular se le pudiera tipificar el hecho que la ley señala como delito previsto en el art</w:t>
      </w:r>
      <w:r w:rsidR="00EB7A57">
        <w:rPr>
          <w:rFonts w:ascii="ArialMT" w:eastAsia="Times New Roman" w:hAnsi="ArialMT" w:cs="Times New Roman"/>
          <w:color w:val="FF0000"/>
          <w:sz w:val="22"/>
          <w:szCs w:val="22"/>
          <w:lang w:eastAsia="es-ES_tradnl"/>
        </w:rPr>
        <w:t>í</w:t>
      </w:r>
      <w:r w:rsidR="00622344">
        <w:rPr>
          <w:rFonts w:ascii="ArialMT" w:eastAsia="Times New Roman" w:hAnsi="ArialMT" w:cs="Times New Roman"/>
          <w:color w:val="FF0000"/>
          <w:sz w:val="22"/>
          <w:szCs w:val="22"/>
          <w:lang w:eastAsia="es-ES_tradnl"/>
        </w:rPr>
        <w:t xml:space="preserve">culo 152 </w:t>
      </w:r>
      <w:r w:rsidR="00EB7A57">
        <w:rPr>
          <w:rFonts w:ascii="ArialMT" w:eastAsia="Times New Roman" w:hAnsi="ArialMT" w:cs="Times New Roman"/>
          <w:color w:val="FF0000"/>
          <w:sz w:val="22"/>
          <w:szCs w:val="22"/>
          <w:lang w:eastAsia="es-ES_tradnl"/>
        </w:rPr>
        <w:t xml:space="preserve">numeral </w:t>
      </w:r>
      <w:r w:rsidR="00622344">
        <w:rPr>
          <w:rFonts w:ascii="ArialMT" w:eastAsia="Times New Roman" w:hAnsi="ArialMT" w:cs="Times New Roman"/>
          <w:color w:val="FF0000"/>
          <w:sz w:val="22"/>
          <w:szCs w:val="22"/>
          <w:lang w:eastAsia="es-ES_tradnl"/>
        </w:rPr>
        <w:t>2 fracci</w:t>
      </w:r>
      <w:r w:rsidR="00EB7A57">
        <w:rPr>
          <w:rFonts w:ascii="ArialMT" w:eastAsia="Times New Roman" w:hAnsi="ArialMT" w:cs="Times New Roman"/>
          <w:color w:val="FF0000"/>
          <w:sz w:val="22"/>
          <w:szCs w:val="22"/>
          <w:lang w:eastAsia="es-ES_tradnl"/>
        </w:rPr>
        <w:t>ó</w:t>
      </w:r>
      <w:r w:rsidR="00622344">
        <w:rPr>
          <w:rFonts w:ascii="ArialMT" w:eastAsia="Times New Roman" w:hAnsi="ArialMT" w:cs="Times New Roman"/>
          <w:color w:val="FF0000"/>
          <w:sz w:val="22"/>
          <w:szCs w:val="22"/>
          <w:lang w:eastAsia="es-ES_tradnl"/>
        </w:rPr>
        <w:t>n III.</w:t>
      </w:r>
    </w:p>
    <w:p w14:paraId="26032D47" w14:textId="77777777" w:rsidR="001F3EB6" w:rsidRPr="00A8010E" w:rsidRDefault="001F3EB6" w:rsidP="001F3EB6">
      <w:pPr>
        <w:spacing w:before="100" w:beforeAutospacing="1" w:after="100" w:afterAutospacing="1"/>
        <w:ind w:left="1440"/>
        <w:jc w:val="both"/>
        <w:rPr>
          <w:rFonts w:ascii="ArialMT" w:eastAsia="Times New Roman" w:hAnsi="ArialMT" w:cs="Times New Roman"/>
          <w:sz w:val="22"/>
          <w:szCs w:val="22"/>
          <w:lang w:eastAsia="es-ES_tradnl"/>
        </w:rPr>
      </w:pPr>
    </w:p>
    <w:p w14:paraId="2900CF0D" w14:textId="270849B0" w:rsidR="00A8010E" w:rsidRDefault="00A8010E" w:rsidP="003633DC">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2.3  De las posibles faltas administrativas que advirtió, ¿Cuáles serían las pruebas idóneas para acreditar tanto la existencia de la posible falta administrativa, así como para vincular al presunto responsable al procedimiento de responsabilidad administrativa? </w:t>
      </w:r>
    </w:p>
    <w:p w14:paraId="3C038AEB" w14:textId="0A872490" w:rsidR="00797A93" w:rsidRDefault="00797A93" w:rsidP="00797A93">
      <w:pPr>
        <w:spacing w:before="100" w:beforeAutospacing="1" w:after="100" w:afterAutospacing="1"/>
        <w:jc w:val="both"/>
        <w:rPr>
          <w:rFonts w:ascii="ArialMT" w:eastAsia="Times New Roman" w:hAnsi="ArialMT" w:cs="Times New Roman"/>
          <w:color w:val="FF0000"/>
          <w:sz w:val="22"/>
          <w:szCs w:val="22"/>
          <w:lang w:eastAsia="es-ES_tradnl"/>
        </w:rPr>
      </w:pPr>
      <w:r w:rsidRPr="00797A93">
        <w:rPr>
          <w:rFonts w:ascii="ArialMT" w:eastAsia="Times New Roman" w:hAnsi="ArialMT" w:cs="Times New Roman"/>
          <w:color w:val="FF0000"/>
          <w:sz w:val="22"/>
          <w:szCs w:val="22"/>
          <w:lang w:eastAsia="es-ES_tradnl"/>
        </w:rPr>
        <w:t xml:space="preserve">a) </w:t>
      </w:r>
      <w:r>
        <w:rPr>
          <w:rFonts w:ascii="ArialMT" w:eastAsia="Times New Roman" w:hAnsi="ArialMT" w:cs="Times New Roman"/>
          <w:color w:val="FF0000"/>
          <w:sz w:val="22"/>
          <w:szCs w:val="22"/>
          <w:lang w:eastAsia="es-ES_tradnl"/>
        </w:rPr>
        <w:t>Documentales p</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 xml:space="preserve">blicas. </w:t>
      </w:r>
    </w:p>
    <w:p w14:paraId="0B3DD0CE" w14:textId="0B11EAA4" w:rsidR="00797A93" w:rsidRDefault="00797A93" w:rsidP="00797A93">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Declaración patrimonial y de intereses del servidor p</w:t>
      </w:r>
      <w:r w:rsidR="00EB7A57">
        <w:rPr>
          <w:rFonts w:ascii="ArialMT" w:eastAsia="Times New Roman" w:hAnsi="ArialMT" w:cs="Times New Roman"/>
          <w:color w:val="FF0000"/>
          <w:sz w:val="22"/>
          <w:szCs w:val="22"/>
          <w:lang w:eastAsia="es-ES_tradnl"/>
        </w:rPr>
        <w:t>ú</w:t>
      </w:r>
      <w:r>
        <w:rPr>
          <w:rFonts w:ascii="ArialMT" w:eastAsia="Times New Roman" w:hAnsi="ArialMT" w:cs="Times New Roman"/>
          <w:color w:val="FF0000"/>
          <w:sz w:val="22"/>
          <w:szCs w:val="22"/>
          <w:lang w:eastAsia="es-ES_tradnl"/>
        </w:rPr>
        <w:t>blico.</w:t>
      </w:r>
    </w:p>
    <w:p w14:paraId="4A5BC2FD" w14:textId="0BC2DC6A" w:rsidR="00797A93" w:rsidRDefault="00797A93" w:rsidP="00797A93">
      <w:pPr>
        <w:spacing w:before="100" w:beforeAutospacing="1" w:after="100" w:afterAutospacing="1"/>
        <w:jc w:val="both"/>
        <w:rPr>
          <w:rFonts w:ascii="ArialMT" w:eastAsia="Times New Roman" w:hAnsi="ArialMT" w:cs="Times New Roman"/>
          <w:color w:val="FF0000"/>
          <w:sz w:val="22"/>
          <w:szCs w:val="22"/>
          <w:lang w:eastAsia="es-ES_tradnl"/>
        </w:rPr>
      </w:pPr>
      <w:r w:rsidRPr="00797A93">
        <w:rPr>
          <w:rFonts w:ascii="ArialMT" w:eastAsia="Times New Roman" w:hAnsi="ArialMT" w:cs="Times New Roman"/>
          <w:color w:val="FF0000"/>
          <w:sz w:val="22"/>
          <w:szCs w:val="22"/>
          <w:lang w:eastAsia="es-ES_tradnl"/>
        </w:rPr>
        <w:t xml:space="preserve">Acta Constitutiva de la empresa </w:t>
      </w:r>
      <w:r w:rsidRPr="00A8010E">
        <w:rPr>
          <w:rFonts w:ascii="ArialMT" w:eastAsia="Times New Roman" w:hAnsi="ArialMT" w:cs="Times New Roman"/>
          <w:color w:val="FF0000"/>
          <w:sz w:val="22"/>
          <w:szCs w:val="22"/>
          <w:lang w:eastAsia="es-ES_tradnl"/>
        </w:rPr>
        <w:t xml:space="preserve">“Servicios Integrales de Alimentos. Viandas Gourmet, S.A. de C.V.” </w:t>
      </w:r>
    </w:p>
    <w:p w14:paraId="4D8E7326" w14:textId="70F8BBE1" w:rsidR="00DD2926" w:rsidRDefault="00DD2926" w:rsidP="00797A93">
      <w:pPr>
        <w:spacing w:before="100" w:beforeAutospacing="1" w:after="100" w:afterAutospacing="1"/>
        <w:jc w:val="both"/>
        <w:rPr>
          <w:rFonts w:ascii="ArialMT" w:eastAsia="Times New Roman" w:hAnsi="ArialMT" w:cs="Times New Roman"/>
          <w:color w:val="FF0000"/>
          <w:sz w:val="22"/>
          <w:szCs w:val="22"/>
          <w:lang w:eastAsia="es-ES_tradnl"/>
        </w:rPr>
      </w:pPr>
      <w:r w:rsidRPr="00DD2926">
        <w:rPr>
          <w:rFonts w:ascii="ArialMT" w:eastAsia="Times New Roman" w:hAnsi="ArialMT" w:cs="Times New Roman"/>
          <w:color w:val="FF0000"/>
          <w:sz w:val="22"/>
          <w:szCs w:val="22"/>
          <w:lang w:eastAsia="es-ES_tradnl"/>
        </w:rPr>
        <w:t xml:space="preserve">Acta Constitutiva de la empresa </w:t>
      </w:r>
      <w:r w:rsidRPr="00A8010E">
        <w:rPr>
          <w:rFonts w:ascii="ArialMT" w:eastAsia="Times New Roman" w:hAnsi="ArialMT" w:cs="Times New Roman"/>
          <w:color w:val="FF0000"/>
          <w:sz w:val="22"/>
          <w:szCs w:val="22"/>
          <w:lang w:eastAsia="es-ES_tradnl"/>
        </w:rPr>
        <w:t>“Tragones pero finos, S.A. de C.V.”.</w:t>
      </w:r>
    </w:p>
    <w:p w14:paraId="114C8AD8" w14:textId="46ED7C34" w:rsidR="00DD2926" w:rsidRDefault="00DD2926" w:rsidP="00797A93">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C</w:t>
      </w:r>
      <w:r w:rsidRPr="003633DC">
        <w:rPr>
          <w:rFonts w:ascii="ArialMT" w:eastAsia="Times New Roman" w:hAnsi="ArialMT" w:cs="Times New Roman"/>
          <w:color w:val="FF0000"/>
          <w:sz w:val="22"/>
          <w:szCs w:val="22"/>
          <w:lang w:eastAsia="es-ES_tradnl"/>
        </w:rPr>
        <w:t>opias certificadas de la totalidad del expediente de licitación</w:t>
      </w:r>
      <w:r>
        <w:rPr>
          <w:rFonts w:ascii="ArialMT" w:eastAsia="Times New Roman" w:hAnsi="ArialMT" w:cs="Times New Roman"/>
          <w:color w:val="FF0000"/>
          <w:sz w:val="22"/>
          <w:szCs w:val="22"/>
          <w:lang w:eastAsia="es-ES_tradnl"/>
        </w:rPr>
        <w:t>.</w:t>
      </w:r>
    </w:p>
    <w:p w14:paraId="5D8032DF" w14:textId="77AB8BD8" w:rsidR="00797A93" w:rsidRDefault="00797A93" w:rsidP="00797A93">
      <w:pPr>
        <w:spacing w:before="100" w:beforeAutospacing="1" w:after="100" w:afterAutospacing="1"/>
        <w:jc w:val="both"/>
        <w:rPr>
          <w:rFonts w:ascii="ArialMT" w:eastAsia="Times New Roman" w:hAnsi="ArialMT" w:cs="Times New Roman"/>
          <w:color w:val="FF0000"/>
          <w:sz w:val="22"/>
          <w:szCs w:val="22"/>
          <w:lang w:eastAsia="es-ES_tradnl"/>
        </w:rPr>
      </w:pPr>
      <w:r w:rsidRPr="00797A93">
        <w:rPr>
          <w:rFonts w:ascii="ArialMT" w:eastAsia="Times New Roman" w:hAnsi="ArialMT" w:cs="Times New Roman"/>
          <w:color w:val="FF0000"/>
          <w:sz w:val="22"/>
          <w:szCs w:val="22"/>
          <w:lang w:eastAsia="es-ES_tradnl"/>
        </w:rPr>
        <w:t xml:space="preserve">Acreditar que la empresa entregó dinero al servidor público señalado, mediante los informes de la </w:t>
      </w:r>
      <w:r w:rsidR="00EB7A57">
        <w:rPr>
          <w:rFonts w:ascii="ArialMT" w:eastAsia="Times New Roman" w:hAnsi="ArialMT" w:cs="Times New Roman"/>
          <w:color w:val="FF0000"/>
          <w:sz w:val="22"/>
          <w:szCs w:val="22"/>
          <w:lang w:eastAsia="es-ES_tradnl"/>
        </w:rPr>
        <w:t>C</w:t>
      </w:r>
      <w:r w:rsidRPr="00797A93">
        <w:rPr>
          <w:rFonts w:ascii="ArialMT" w:eastAsia="Times New Roman" w:hAnsi="ArialMT" w:cs="Times New Roman"/>
          <w:color w:val="FF0000"/>
          <w:sz w:val="22"/>
          <w:szCs w:val="22"/>
          <w:lang w:eastAsia="es-ES_tradnl"/>
        </w:rPr>
        <w:t xml:space="preserve">omisión </w:t>
      </w:r>
      <w:r w:rsidR="00EB7A57">
        <w:rPr>
          <w:rFonts w:ascii="ArialMT" w:eastAsia="Times New Roman" w:hAnsi="ArialMT" w:cs="Times New Roman"/>
          <w:color w:val="FF0000"/>
          <w:sz w:val="22"/>
          <w:szCs w:val="22"/>
          <w:lang w:eastAsia="es-ES_tradnl"/>
        </w:rPr>
        <w:t>N</w:t>
      </w:r>
      <w:r w:rsidRPr="00797A93">
        <w:rPr>
          <w:rFonts w:ascii="ArialMT" w:eastAsia="Times New Roman" w:hAnsi="ArialMT" w:cs="Times New Roman"/>
          <w:color w:val="FF0000"/>
          <w:sz w:val="22"/>
          <w:szCs w:val="22"/>
          <w:lang w:eastAsia="es-ES_tradnl"/>
        </w:rPr>
        <w:t xml:space="preserve">acional </w:t>
      </w:r>
      <w:r w:rsidR="00EB7A57">
        <w:rPr>
          <w:rFonts w:ascii="ArialMT" w:eastAsia="Times New Roman" w:hAnsi="ArialMT" w:cs="Times New Roman"/>
          <w:color w:val="FF0000"/>
          <w:sz w:val="22"/>
          <w:szCs w:val="22"/>
          <w:lang w:eastAsia="es-ES_tradnl"/>
        </w:rPr>
        <w:t>B</w:t>
      </w:r>
      <w:r w:rsidRPr="00797A93">
        <w:rPr>
          <w:rFonts w:ascii="ArialMT" w:eastAsia="Times New Roman" w:hAnsi="ArialMT" w:cs="Times New Roman"/>
          <w:color w:val="FF0000"/>
          <w:sz w:val="22"/>
          <w:szCs w:val="22"/>
          <w:lang w:eastAsia="es-ES_tradnl"/>
        </w:rPr>
        <w:t>ancaria</w:t>
      </w:r>
      <w:r w:rsidR="00EB7A57">
        <w:rPr>
          <w:rFonts w:ascii="ArialMT" w:eastAsia="Times New Roman" w:hAnsi="ArialMT" w:cs="Times New Roman"/>
          <w:color w:val="FF0000"/>
          <w:sz w:val="22"/>
          <w:szCs w:val="22"/>
          <w:lang w:eastAsia="es-ES_tradnl"/>
        </w:rPr>
        <w:t>,</w:t>
      </w:r>
      <w:r w:rsidRPr="00797A93">
        <w:rPr>
          <w:rFonts w:ascii="ArialMT" w:eastAsia="Times New Roman" w:hAnsi="ArialMT" w:cs="Times New Roman"/>
          <w:color w:val="FF0000"/>
          <w:sz w:val="22"/>
          <w:szCs w:val="22"/>
          <w:lang w:eastAsia="es-ES_tradnl"/>
        </w:rPr>
        <w:t xml:space="preserve"> además de la auditoría forense practicada al caso en concreto.</w:t>
      </w:r>
    </w:p>
    <w:p w14:paraId="0D3ECDC6" w14:textId="0C5428DC" w:rsidR="00DD2926" w:rsidRDefault="00DD2926" w:rsidP="00797A93">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lastRenderedPageBreak/>
        <w:t>Dictamen de la auditor</w:t>
      </w:r>
      <w:r w:rsidR="00EB7A57">
        <w:rPr>
          <w:rFonts w:ascii="ArialMT" w:eastAsia="Times New Roman" w:hAnsi="ArialMT" w:cs="Times New Roman"/>
          <w:color w:val="FF0000"/>
          <w:sz w:val="22"/>
          <w:szCs w:val="22"/>
          <w:lang w:eastAsia="es-ES_tradnl"/>
        </w:rPr>
        <w:t>í</w:t>
      </w:r>
      <w:r>
        <w:rPr>
          <w:rFonts w:ascii="ArialMT" w:eastAsia="Times New Roman" w:hAnsi="ArialMT" w:cs="Times New Roman"/>
          <w:color w:val="FF0000"/>
          <w:sz w:val="22"/>
          <w:szCs w:val="22"/>
          <w:lang w:eastAsia="es-ES_tradnl"/>
        </w:rPr>
        <w:t>a forense</w:t>
      </w:r>
      <w:r w:rsidR="00516406">
        <w:rPr>
          <w:rFonts w:ascii="ArialMT" w:eastAsia="Times New Roman" w:hAnsi="ArialMT" w:cs="Times New Roman"/>
          <w:color w:val="FF0000"/>
          <w:sz w:val="22"/>
          <w:szCs w:val="22"/>
          <w:lang w:eastAsia="es-ES_tradnl"/>
        </w:rPr>
        <w:t xml:space="preserve"> que determine los actos omitidos por el servidor p</w:t>
      </w:r>
      <w:r w:rsidR="00EB7A57">
        <w:rPr>
          <w:rFonts w:ascii="ArialMT" w:eastAsia="Times New Roman" w:hAnsi="ArialMT" w:cs="Times New Roman"/>
          <w:color w:val="FF0000"/>
          <w:sz w:val="22"/>
          <w:szCs w:val="22"/>
          <w:lang w:eastAsia="es-ES_tradnl"/>
        </w:rPr>
        <w:t>ú</w:t>
      </w:r>
      <w:r w:rsidR="00516406">
        <w:rPr>
          <w:rFonts w:ascii="ArialMT" w:eastAsia="Times New Roman" w:hAnsi="ArialMT" w:cs="Times New Roman"/>
          <w:color w:val="FF0000"/>
          <w:sz w:val="22"/>
          <w:szCs w:val="22"/>
          <w:lang w:eastAsia="es-ES_tradnl"/>
        </w:rPr>
        <w:t>blico durante todas las etapas del proceso y que aclare los actos de acci</w:t>
      </w:r>
      <w:r w:rsidR="00EB7A57">
        <w:rPr>
          <w:rFonts w:ascii="ArialMT" w:eastAsia="Times New Roman" w:hAnsi="ArialMT" w:cs="Times New Roman"/>
          <w:color w:val="FF0000"/>
          <w:sz w:val="22"/>
          <w:szCs w:val="22"/>
          <w:lang w:eastAsia="es-ES_tradnl"/>
        </w:rPr>
        <w:t>ó</w:t>
      </w:r>
      <w:r w:rsidR="00516406">
        <w:rPr>
          <w:rFonts w:ascii="ArialMT" w:eastAsia="Times New Roman" w:hAnsi="ArialMT" w:cs="Times New Roman"/>
          <w:color w:val="FF0000"/>
          <w:sz w:val="22"/>
          <w:szCs w:val="22"/>
          <w:lang w:eastAsia="es-ES_tradnl"/>
        </w:rPr>
        <w:t>n y omisi</w:t>
      </w:r>
      <w:r w:rsidR="00EB7A57">
        <w:rPr>
          <w:rFonts w:ascii="ArialMT" w:eastAsia="Times New Roman" w:hAnsi="ArialMT" w:cs="Times New Roman"/>
          <w:color w:val="FF0000"/>
          <w:sz w:val="22"/>
          <w:szCs w:val="22"/>
          <w:lang w:eastAsia="es-ES_tradnl"/>
        </w:rPr>
        <w:t>ó</w:t>
      </w:r>
      <w:r w:rsidR="00516406">
        <w:rPr>
          <w:rFonts w:ascii="ArialMT" w:eastAsia="Times New Roman" w:hAnsi="ArialMT" w:cs="Times New Roman"/>
          <w:color w:val="FF0000"/>
          <w:sz w:val="22"/>
          <w:szCs w:val="22"/>
          <w:lang w:eastAsia="es-ES_tradnl"/>
        </w:rPr>
        <w:t>n del servidor p</w:t>
      </w:r>
      <w:r w:rsidR="00EB7A57">
        <w:rPr>
          <w:rFonts w:ascii="ArialMT" w:eastAsia="Times New Roman" w:hAnsi="ArialMT" w:cs="Times New Roman"/>
          <w:color w:val="FF0000"/>
          <w:sz w:val="22"/>
          <w:szCs w:val="22"/>
          <w:lang w:eastAsia="es-ES_tradnl"/>
        </w:rPr>
        <w:t>ú</w:t>
      </w:r>
      <w:r w:rsidR="00516406">
        <w:rPr>
          <w:rFonts w:ascii="ArialMT" w:eastAsia="Times New Roman" w:hAnsi="ArialMT" w:cs="Times New Roman"/>
          <w:color w:val="FF0000"/>
          <w:sz w:val="22"/>
          <w:szCs w:val="22"/>
          <w:lang w:eastAsia="es-ES_tradnl"/>
        </w:rPr>
        <w:t>blico investigado.</w:t>
      </w:r>
    </w:p>
    <w:p w14:paraId="7589579C" w14:textId="06A39EB6" w:rsidR="007B6544" w:rsidRDefault="007B6544" w:rsidP="00797A93">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 xml:space="preserve">b) Pruebas Testimoniales: Consistentes en los atestes de los miembros del  </w:t>
      </w:r>
      <w:r w:rsidR="00EB7A57">
        <w:rPr>
          <w:rFonts w:ascii="ArialMT" w:eastAsia="Times New Roman" w:hAnsi="ArialMT" w:cs="Times New Roman"/>
          <w:color w:val="FF0000"/>
          <w:sz w:val="22"/>
          <w:szCs w:val="22"/>
          <w:lang w:eastAsia="es-ES_tradnl"/>
        </w:rPr>
        <w:t>C</w:t>
      </w:r>
      <w:r>
        <w:rPr>
          <w:rFonts w:ascii="ArialMT" w:eastAsia="Times New Roman" w:hAnsi="ArialMT" w:cs="Times New Roman"/>
          <w:color w:val="FF0000"/>
          <w:sz w:val="22"/>
          <w:szCs w:val="22"/>
          <w:lang w:eastAsia="es-ES_tradnl"/>
        </w:rPr>
        <w:t xml:space="preserve">omité de </w:t>
      </w:r>
      <w:r w:rsidR="00EB7A57">
        <w:rPr>
          <w:rFonts w:ascii="ArialMT" w:eastAsia="Times New Roman" w:hAnsi="ArialMT" w:cs="Times New Roman"/>
          <w:color w:val="FF0000"/>
          <w:sz w:val="22"/>
          <w:szCs w:val="22"/>
          <w:lang w:eastAsia="es-ES_tradnl"/>
        </w:rPr>
        <w:t>A</w:t>
      </w:r>
      <w:r>
        <w:rPr>
          <w:rFonts w:ascii="ArialMT" w:eastAsia="Times New Roman" w:hAnsi="ArialMT" w:cs="Times New Roman"/>
          <w:color w:val="FF0000"/>
          <w:sz w:val="22"/>
          <w:szCs w:val="22"/>
          <w:lang w:eastAsia="es-ES_tradnl"/>
        </w:rPr>
        <w:t xml:space="preserve">dquisisiones, del </w:t>
      </w:r>
      <w:r w:rsidR="00EB7A57">
        <w:rPr>
          <w:rFonts w:ascii="ArialMT" w:eastAsia="Times New Roman" w:hAnsi="ArialMT" w:cs="Times New Roman"/>
          <w:color w:val="FF0000"/>
          <w:sz w:val="22"/>
          <w:szCs w:val="22"/>
          <w:lang w:eastAsia="es-ES_tradnl"/>
        </w:rPr>
        <w:t>á</w:t>
      </w:r>
      <w:r>
        <w:rPr>
          <w:rFonts w:ascii="ArialMT" w:eastAsia="Times New Roman" w:hAnsi="ArialMT" w:cs="Times New Roman"/>
          <w:color w:val="FF0000"/>
          <w:sz w:val="22"/>
          <w:szCs w:val="22"/>
          <w:lang w:eastAsia="es-ES_tradnl"/>
        </w:rPr>
        <w:t>rea de comedor</w:t>
      </w:r>
      <w:r w:rsidR="00EB7A57">
        <w:rPr>
          <w:rFonts w:ascii="ArialMT" w:eastAsia="Times New Roman" w:hAnsi="ArialMT" w:cs="Times New Roman"/>
          <w:color w:val="FF0000"/>
          <w:sz w:val="22"/>
          <w:szCs w:val="22"/>
          <w:lang w:eastAsia="es-ES_tradnl"/>
        </w:rPr>
        <w:t xml:space="preserve"> y </w:t>
      </w:r>
      <w:r>
        <w:rPr>
          <w:rFonts w:ascii="ArialMT" w:eastAsia="Times New Roman" w:hAnsi="ArialMT" w:cs="Times New Roman"/>
          <w:color w:val="FF0000"/>
          <w:sz w:val="22"/>
          <w:szCs w:val="22"/>
          <w:lang w:eastAsia="es-ES_tradnl"/>
        </w:rPr>
        <w:t>del denunciante</w:t>
      </w:r>
      <w:r w:rsidR="00EC6C41">
        <w:rPr>
          <w:rFonts w:ascii="ArialMT" w:eastAsia="Times New Roman" w:hAnsi="ArialMT" w:cs="Times New Roman"/>
          <w:color w:val="FF0000"/>
          <w:sz w:val="22"/>
          <w:szCs w:val="22"/>
          <w:lang w:eastAsia="es-ES_tradnl"/>
        </w:rPr>
        <w:t>.</w:t>
      </w:r>
    </w:p>
    <w:p w14:paraId="1D5897FB" w14:textId="6F398F60" w:rsidR="005766AB" w:rsidRPr="00797A93" w:rsidRDefault="005766AB" w:rsidP="00797A93">
      <w:pPr>
        <w:spacing w:before="100" w:beforeAutospacing="1" w:after="100" w:afterAutospacing="1"/>
        <w:jc w:val="both"/>
        <w:rPr>
          <w:rFonts w:ascii="ArialMT" w:eastAsia="Times New Roman" w:hAnsi="ArialMT" w:cs="Times New Roman"/>
          <w:color w:val="FF0000"/>
          <w:sz w:val="22"/>
          <w:szCs w:val="22"/>
          <w:lang w:eastAsia="es-ES_tradnl"/>
        </w:rPr>
      </w:pPr>
      <w:r>
        <w:rPr>
          <w:rFonts w:ascii="ArialMT" w:eastAsia="Times New Roman" w:hAnsi="ArialMT" w:cs="Times New Roman"/>
          <w:color w:val="FF0000"/>
          <w:sz w:val="22"/>
          <w:szCs w:val="22"/>
          <w:lang w:eastAsia="es-ES_tradnl"/>
        </w:rPr>
        <w:t>c) La prueba presuncional, donde se razonar</w:t>
      </w:r>
      <w:r w:rsidR="00EB7A57">
        <w:rPr>
          <w:rFonts w:ascii="ArialMT" w:eastAsia="Times New Roman" w:hAnsi="ArialMT" w:cs="Times New Roman"/>
          <w:color w:val="FF0000"/>
          <w:sz w:val="22"/>
          <w:szCs w:val="22"/>
          <w:lang w:eastAsia="es-ES_tradnl"/>
        </w:rPr>
        <w:t>í</w:t>
      </w:r>
      <w:r>
        <w:rPr>
          <w:rFonts w:ascii="ArialMT" w:eastAsia="Times New Roman" w:hAnsi="ArialMT" w:cs="Times New Roman"/>
          <w:color w:val="FF0000"/>
          <w:sz w:val="22"/>
          <w:szCs w:val="22"/>
          <w:lang w:eastAsia="es-ES_tradnl"/>
        </w:rPr>
        <w:t>a</w:t>
      </w:r>
      <w:r w:rsidR="00EB7A57">
        <w:rPr>
          <w:rFonts w:ascii="ArialMT" w:eastAsia="Times New Roman" w:hAnsi="ArialMT" w:cs="Times New Roman"/>
          <w:color w:val="FF0000"/>
          <w:sz w:val="22"/>
          <w:szCs w:val="22"/>
          <w:lang w:eastAsia="es-ES_tradnl"/>
        </w:rPr>
        <w:t>n</w:t>
      </w:r>
      <w:r>
        <w:rPr>
          <w:rFonts w:ascii="ArialMT" w:eastAsia="Times New Roman" w:hAnsi="ArialMT" w:cs="Times New Roman"/>
          <w:color w:val="FF0000"/>
          <w:sz w:val="22"/>
          <w:szCs w:val="22"/>
          <w:lang w:eastAsia="es-ES_tradnl"/>
        </w:rPr>
        <w:t xml:space="preserve"> todas y cada una de las pruebas</w:t>
      </w:r>
      <w:r w:rsidR="00EB7A57">
        <w:rPr>
          <w:rFonts w:ascii="ArialMT" w:eastAsia="Times New Roman" w:hAnsi="ArialMT" w:cs="Times New Roman"/>
          <w:color w:val="FF0000"/>
          <w:sz w:val="22"/>
          <w:szCs w:val="22"/>
          <w:lang w:eastAsia="es-ES_tradnl"/>
        </w:rPr>
        <w:t>.</w:t>
      </w:r>
      <w:r>
        <w:rPr>
          <w:rFonts w:ascii="ArialMT" w:eastAsia="Times New Roman" w:hAnsi="ArialMT" w:cs="Times New Roman"/>
          <w:color w:val="FF0000"/>
          <w:sz w:val="22"/>
          <w:szCs w:val="22"/>
          <w:lang w:eastAsia="es-ES_tradnl"/>
        </w:rPr>
        <w:t xml:space="preserve"> </w:t>
      </w:r>
    </w:p>
    <w:p w14:paraId="1F13F96B" w14:textId="77777777" w:rsidR="00A8010E" w:rsidRPr="00A8010E" w:rsidRDefault="00A8010E" w:rsidP="00797A93">
      <w:pPr>
        <w:numPr>
          <w:ilvl w:val="0"/>
          <w:numId w:val="2"/>
        </w:numPr>
        <w:spacing w:before="100" w:beforeAutospacing="1" w:after="100" w:afterAutospacing="1"/>
        <w:ind w:left="0"/>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Por lo que toca al control interno y como parte de las acciones tendientes a prevenir hechos de corrupción, a cargo del Órgano Interno de Control. </w:t>
      </w:r>
    </w:p>
    <w:p w14:paraId="5C545396" w14:textId="2F5BE2EC" w:rsidR="00A8010E" w:rsidRDefault="00A8010E" w:rsidP="00797A93">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3.1  Qué recomendaciones, en cuanto a buenas prácticas, haría al Comité de Adquisiciones u otras áreas internas, para prevenir eventuales conflictos de interés y mejorar los procedimientos de compras públicas. </w:t>
      </w:r>
    </w:p>
    <w:p w14:paraId="3C7B3ECF" w14:textId="77777777" w:rsidR="00516406" w:rsidRPr="00516406" w:rsidRDefault="00516406" w:rsidP="00516406">
      <w:pPr>
        <w:spacing w:before="100" w:beforeAutospacing="1" w:after="100" w:afterAutospacing="1"/>
        <w:rPr>
          <w:rFonts w:ascii="Times New Roman" w:eastAsia="Times New Roman" w:hAnsi="Times New Roman" w:cs="Times New Roman"/>
          <w:color w:val="FF0000"/>
          <w:lang w:eastAsia="es-ES_tradnl"/>
        </w:rPr>
      </w:pPr>
      <w:r w:rsidRPr="00516406">
        <w:rPr>
          <w:rFonts w:ascii="ArialMT" w:eastAsia="Times New Roman" w:hAnsi="ArialMT" w:cs="Times New Roman"/>
          <w:color w:val="FF0000"/>
          <w:lang w:eastAsia="es-ES_tradnl"/>
        </w:rPr>
        <w:t xml:space="preserve">a) Crear el protocolo de actuación de los servidores públicos en materia de contrataciones para servidores públicos. </w:t>
      </w:r>
    </w:p>
    <w:p w14:paraId="5F2567F5" w14:textId="77777777" w:rsidR="00516406" w:rsidRPr="00516406" w:rsidRDefault="00516406" w:rsidP="00516406">
      <w:pPr>
        <w:spacing w:before="100" w:beforeAutospacing="1" w:after="100" w:afterAutospacing="1"/>
        <w:rPr>
          <w:rFonts w:ascii="Times New Roman" w:eastAsia="Times New Roman" w:hAnsi="Times New Roman" w:cs="Times New Roman"/>
          <w:color w:val="FF0000"/>
          <w:lang w:eastAsia="es-ES_tradnl"/>
        </w:rPr>
      </w:pPr>
      <w:r w:rsidRPr="00516406">
        <w:rPr>
          <w:rFonts w:ascii="ArialMT" w:eastAsia="Times New Roman" w:hAnsi="ArialMT" w:cs="Times New Roman"/>
          <w:color w:val="FF0000"/>
          <w:lang w:eastAsia="es-ES_tradnl"/>
        </w:rPr>
        <w:t xml:space="preserve">b) Emitir el reglamento interno de compras Gubernamentales para el Estado de Jalisco. </w:t>
      </w:r>
    </w:p>
    <w:p w14:paraId="39121D43" w14:textId="7243A140" w:rsidR="00516406" w:rsidRDefault="00516406" w:rsidP="00516406">
      <w:pPr>
        <w:spacing w:before="100" w:beforeAutospacing="1" w:after="100" w:afterAutospacing="1"/>
        <w:rPr>
          <w:rFonts w:ascii="ArialMT" w:eastAsia="Times New Roman" w:hAnsi="ArialMT" w:cs="Times New Roman"/>
          <w:color w:val="FF0000"/>
          <w:lang w:eastAsia="es-ES_tradnl"/>
        </w:rPr>
      </w:pPr>
      <w:r w:rsidRPr="00516406">
        <w:rPr>
          <w:rFonts w:ascii="ArialMT" w:eastAsia="Times New Roman" w:hAnsi="ArialMT" w:cs="Times New Roman"/>
          <w:color w:val="FF0000"/>
          <w:lang w:eastAsia="es-ES_tradnl"/>
        </w:rPr>
        <w:t xml:space="preserve">c) Lineamientos a las área requirentes para que verifiquen la obra o servicio que se pretenda entregar. </w:t>
      </w:r>
    </w:p>
    <w:p w14:paraId="731D4582" w14:textId="47E57F29" w:rsidR="00516406" w:rsidRPr="00A8010E" w:rsidRDefault="00516406" w:rsidP="00516406">
      <w:pPr>
        <w:spacing w:before="100" w:beforeAutospacing="1" w:after="100" w:afterAutospacing="1"/>
        <w:rPr>
          <w:rFonts w:ascii="Times New Roman" w:eastAsia="Times New Roman" w:hAnsi="Times New Roman" w:cs="Times New Roman"/>
          <w:color w:val="FF0000"/>
          <w:lang w:eastAsia="es-ES_tradnl"/>
        </w:rPr>
      </w:pPr>
      <w:r>
        <w:rPr>
          <w:rFonts w:ascii="ArialMT" w:eastAsia="Times New Roman" w:hAnsi="ArialMT" w:cs="Times New Roman"/>
          <w:color w:val="FF0000"/>
          <w:lang w:eastAsia="es-ES_tradnl"/>
        </w:rPr>
        <w:t xml:space="preserve">d) Requerir el OIC a los integrantes del </w:t>
      </w:r>
      <w:r w:rsidR="00EB7A57">
        <w:rPr>
          <w:rFonts w:ascii="ArialMT" w:eastAsia="Times New Roman" w:hAnsi="ArialMT" w:cs="Times New Roman"/>
          <w:color w:val="FF0000"/>
          <w:lang w:eastAsia="es-ES_tradnl"/>
        </w:rPr>
        <w:t>C</w:t>
      </w:r>
      <w:r>
        <w:rPr>
          <w:rFonts w:ascii="ArialMT" w:eastAsia="Times New Roman" w:hAnsi="ArialMT" w:cs="Times New Roman"/>
          <w:color w:val="FF0000"/>
          <w:lang w:eastAsia="es-ES_tradnl"/>
        </w:rPr>
        <w:t xml:space="preserve">omité de </w:t>
      </w:r>
      <w:r w:rsidR="00EB7A57">
        <w:rPr>
          <w:rFonts w:ascii="ArialMT" w:eastAsia="Times New Roman" w:hAnsi="ArialMT" w:cs="Times New Roman"/>
          <w:color w:val="FF0000"/>
          <w:lang w:eastAsia="es-ES_tradnl"/>
        </w:rPr>
        <w:t>C</w:t>
      </w:r>
      <w:r>
        <w:rPr>
          <w:rFonts w:ascii="ArialMT" w:eastAsia="Times New Roman" w:hAnsi="ArialMT" w:cs="Times New Roman"/>
          <w:color w:val="FF0000"/>
          <w:lang w:eastAsia="es-ES_tradnl"/>
        </w:rPr>
        <w:t>ompras y del area de adquisisiones una carta de no conflicto de interes.</w:t>
      </w:r>
    </w:p>
    <w:p w14:paraId="2A1799E7" w14:textId="18CAB633" w:rsidR="00A8010E" w:rsidRDefault="00A8010E" w:rsidP="00797A93">
      <w:pPr>
        <w:spacing w:before="100" w:beforeAutospacing="1" w:after="100" w:afterAutospacing="1"/>
        <w:jc w:val="both"/>
        <w:rPr>
          <w:rFonts w:ascii="ArialMT" w:eastAsia="Times New Roman" w:hAnsi="ArialMT" w:cs="Times New Roman"/>
          <w:sz w:val="22"/>
          <w:szCs w:val="22"/>
          <w:lang w:eastAsia="es-ES_tradnl"/>
        </w:rPr>
      </w:pPr>
      <w:r w:rsidRPr="00A8010E">
        <w:rPr>
          <w:rFonts w:ascii="ArialMT" w:eastAsia="Times New Roman" w:hAnsi="ArialMT" w:cs="Times New Roman"/>
          <w:sz w:val="22"/>
          <w:szCs w:val="22"/>
          <w:lang w:eastAsia="es-ES_tradnl"/>
        </w:rPr>
        <w:t xml:space="preserve">3.2  ¿Ordenaría la práctica de algún tipo de auditoría y en caso afirmativo, qué información debe arrojar y sus principales etapas? </w:t>
      </w:r>
    </w:p>
    <w:p w14:paraId="3B288654" w14:textId="6131BE61" w:rsidR="00516406" w:rsidRDefault="00516406" w:rsidP="00EC6C41">
      <w:pPr>
        <w:spacing w:before="100" w:beforeAutospacing="1" w:after="100" w:afterAutospacing="1"/>
        <w:jc w:val="both"/>
        <w:rPr>
          <w:rFonts w:ascii="ArialMT" w:eastAsia="Times New Roman" w:hAnsi="ArialMT" w:cs="Times New Roman"/>
          <w:color w:val="FF0000"/>
          <w:lang w:eastAsia="es-ES_tradnl"/>
        </w:rPr>
      </w:pPr>
      <w:r w:rsidRPr="00516406">
        <w:rPr>
          <w:rFonts w:ascii="ArialMT" w:eastAsia="Times New Roman" w:hAnsi="ArialMT" w:cs="Times New Roman"/>
          <w:color w:val="FF0000"/>
          <w:lang w:eastAsia="es-ES_tradnl"/>
        </w:rPr>
        <w:t>Haciendo un razonamiento lógico de los hechos y debidamente fundada en los puntos que se requieran, solicitaría al área de Auditoría del OIC una auditoría forense que determine los actos omitidos por el servidor p</w:t>
      </w:r>
      <w:r w:rsidR="00EB7A57">
        <w:rPr>
          <w:rFonts w:ascii="ArialMT" w:eastAsia="Times New Roman" w:hAnsi="ArialMT" w:cs="Times New Roman"/>
          <w:color w:val="FF0000"/>
          <w:lang w:eastAsia="es-ES_tradnl"/>
        </w:rPr>
        <w:t>ú</w:t>
      </w:r>
      <w:r w:rsidRPr="00516406">
        <w:rPr>
          <w:rFonts w:ascii="ArialMT" w:eastAsia="Times New Roman" w:hAnsi="ArialMT" w:cs="Times New Roman"/>
          <w:color w:val="FF0000"/>
          <w:lang w:eastAsia="es-ES_tradnl"/>
        </w:rPr>
        <w:t>blico durante todas las etapas del proceso y que aclare los actos de acci</w:t>
      </w:r>
      <w:r w:rsidR="00EB7A57">
        <w:rPr>
          <w:rFonts w:ascii="ArialMT" w:eastAsia="Times New Roman" w:hAnsi="ArialMT" w:cs="Times New Roman"/>
          <w:color w:val="FF0000"/>
          <w:lang w:eastAsia="es-ES_tradnl"/>
        </w:rPr>
        <w:t>ó</w:t>
      </w:r>
      <w:r w:rsidRPr="00516406">
        <w:rPr>
          <w:rFonts w:ascii="ArialMT" w:eastAsia="Times New Roman" w:hAnsi="ArialMT" w:cs="Times New Roman"/>
          <w:color w:val="FF0000"/>
          <w:lang w:eastAsia="es-ES_tradnl"/>
        </w:rPr>
        <w:t>n y omisi</w:t>
      </w:r>
      <w:r w:rsidR="00EB7A57">
        <w:rPr>
          <w:rFonts w:ascii="ArialMT" w:eastAsia="Times New Roman" w:hAnsi="ArialMT" w:cs="Times New Roman"/>
          <w:color w:val="FF0000"/>
          <w:lang w:eastAsia="es-ES_tradnl"/>
        </w:rPr>
        <w:t>ó</w:t>
      </w:r>
      <w:r w:rsidRPr="00516406">
        <w:rPr>
          <w:rFonts w:ascii="ArialMT" w:eastAsia="Times New Roman" w:hAnsi="ArialMT" w:cs="Times New Roman"/>
          <w:color w:val="FF0000"/>
          <w:lang w:eastAsia="es-ES_tradnl"/>
        </w:rPr>
        <w:t>n del servidor p</w:t>
      </w:r>
      <w:r w:rsidR="00EB7A57">
        <w:rPr>
          <w:rFonts w:ascii="ArialMT" w:eastAsia="Times New Roman" w:hAnsi="ArialMT" w:cs="Times New Roman"/>
          <w:color w:val="FF0000"/>
          <w:lang w:eastAsia="es-ES_tradnl"/>
        </w:rPr>
        <w:t>ú</w:t>
      </w:r>
      <w:r w:rsidRPr="00516406">
        <w:rPr>
          <w:rFonts w:ascii="ArialMT" w:eastAsia="Times New Roman" w:hAnsi="ArialMT" w:cs="Times New Roman"/>
          <w:color w:val="FF0000"/>
          <w:lang w:eastAsia="es-ES_tradnl"/>
        </w:rPr>
        <w:t>blico investigado</w:t>
      </w:r>
      <w:r>
        <w:rPr>
          <w:rFonts w:ascii="ArialMT" w:eastAsia="Times New Roman" w:hAnsi="ArialMT" w:cs="Times New Roman"/>
          <w:color w:val="FF0000"/>
          <w:lang w:eastAsia="es-ES_tradnl"/>
        </w:rPr>
        <w:t xml:space="preserve"> y de la razon social y sus apoderados legales y socios</w:t>
      </w:r>
      <w:r w:rsidR="00EC6C41">
        <w:rPr>
          <w:rFonts w:ascii="ArialMT" w:eastAsia="Times New Roman" w:hAnsi="ArialMT" w:cs="Times New Roman"/>
          <w:color w:val="FF0000"/>
          <w:lang w:eastAsia="es-ES_tradnl"/>
        </w:rPr>
        <w:t>, los beneficios econ</w:t>
      </w:r>
      <w:r w:rsidR="00EB7A57">
        <w:rPr>
          <w:rFonts w:ascii="ArialMT" w:eastAsia="Times New Roman" w:hAnsi="ArialMT" w:cs="Times New Roman"/>
          <w:color w:val="FF0000"/>
          <w:lang w:eastAsia="es-ES_tradnl"/>
        </w:rPr>
        <w:t>ó</w:t>
      </w:r>
      <w:r w:rsidR="00EC6C41">
        <w:rPr>
          <w:rFonts w:ascii="ArialMT" w:eastAsia="Times New Roman" w:hAnsi="ArialMT" w:cs="Times New Roman"/>
          <w:color w:val="FF0000"/>
          <w:lang w:eastAsia="es-ES_tradnl"/>
        </w:rPr>
        <w:t>micos obtenidos por las dos partes</w:t>
      </w:r>
      <w:r w:rsidRPr="00516406">
        <w:rPr>
          <w:rFonts w:ascii="ArialMT" w:eastAsia="Times New Roman" w:hAnsi="ArialMT" w:cs="Times New Roman"/>
          <w:color w:val="FF0000"/>
          <w:lang w:eastAsia="es-ES_tradnl"/>
        </w:rPr>
        <w:t>.</w:t>
      </w:r>
    </w:p>
    <w:p w14:paraId="73223730" w14:textId="18232537" w:rsidR="00EC6C41" w:rsidRPr="00516406" w:rsidRDefault="00EC6C41" w:rsidP="00EC6C41">
      <w:pPr>
        <w:spacing w:before="100" w:beforeAutospacing="1" w:after="100" w:afterAutospacing="1"/>
        <w:jc w:val="both"/>
        <w:rPr>
          <w:rFonts w:ascii="ArialMT" w:eastAsia="Times New Roman" w:hAnsi="ArialMT" w:cs="Times New Roman"/>
          <w:color w:val="FF0000"/>
          <w:lang w:eastAsia="es-ES_tradnl"/>
        </w:rPr>
      </w:pPr>
      <w:r>
        <w:rPr>
          <w:rFonts w:ascii="ArialMT" w:eastAsia="Times New Roman" w:hAnsi="ArialMT" w:cs="Times New Roman"/>
          <w:color w:val="FF0000"/>
          <w:lang w:eastAsia="es-ES_tradnl"/>
        </w:rPr>
        <w:t>Las etapas de la auditor</w:t>
      </w:r>
      <w:r w:rsidR="00EB7A57">
        <w:rPr>
          <w:rFonts w:ascii="ArialMT" w:eastAsia="Times New Roman" w:hAnsi="ArialMT" w:cs="Times New Roman"/>
          <w:color w:val="FF0000"/>
          <w:lang w:eastAsia="es-ES_tradnl"/>
        </w:rPr>
        <w:t>í</w:t>
      </w:r>
      <w:r>
        <w:rPr>
          <w:rFonts w:ascii="ArialMT" w:eastAsia="Times New Roman" w:hAnsi="ArialMT" w:cs="Times New Roman"/>
          <w:color w:val="FF0000"/>
          <w:lang w:eastAsia="es-ES_tradnl"/>
        </w:rPr>
        <w:t>a forense son la planeación, identificacion del problema, elaboraci</w:t>
      </w:r>
      <w:r w:rsidR="00EB7A57">
        <w:rPr>
          <w:rFonts w:ascii="ArialMT" w:eastAsia="Times New Roman" w:hAnsi="ArialMT" w:cs="Times New Roman"/>
          <w:color w:val="FF0000"/>
          <w:lang w:eastAsia="es-ES_tradnl"/>
        </w:rPr>
        <w:t>ó</w:t>
      </w:r>
      <w:r>
        <w:rPr>
          <w:rFonts w:ascii="ArialMT" w:eastAsia="Times New Roman" w:hAnsi="ArialMT" w:cs="Times New Roman"/>
          <w:color w:val="FF0000"/>
          <w:lang w:eastAsia="es-ES_tradnl"/>
        </w:rPr>
        <w:t>n y desarrollo del programa, evaluaci</w:t>
      </w:r>
      <w:r w:rsidR="00EB7A57">
        <w:rPr>
          <w:rFonts w:ascii="ArialMT" w:eastAsia="Times New Roman" w:hAnsi="ArialMT" w:cs="Times New Roman"/>
          <w:color w:val="FF0000"/>
          <w:lang w:eastAsia="es-ES_tradnl"/>
        </w:rPr>
        <w:t>ó</w:t>
      </w:r>
      <w:r>
        <w:rPr>
          <w:rFonts w:ascii="ArialMT" w:eastAsia="Times New Roman" w:hAnsi="ArialMT" w:cs="Times New Roman"/>
          <w:color w:val="FF0000"/>
          <w:lang w:eastAsia="es-ES_tradnl"/>
        </w:rPr>
        <w:t>n de evidencias y elaboraci</w:t>
      </w:r>
      <w:r w:rsidR="00EB7A57">
        <w:rPr>
          <w:rFonts w:ascii="ArialMT" w:eastAsia="Times New Roman" w:hAnsi="ArialMT" w:cs="Times New Roman"/>
          <w:color w:val="FF0000"/>
          <w:lang w:eastAsia="es-ES_tradnl"/>
        </w:rPr>
        <w:t>ó</w:t>
      </w:r>
      <w:r>
        <w:rPr>
          <w:rFonts w:ascii="ArialMT" w:eastAsia="Times New Roman" w:hAnsi="ArialMT" w:cs="Times New Roman"/>
          <w:color w:val="FF0000"/>
          <w:lang w:eastAsia="es-ES_tradnl"/>
        </w:rPr>
        <w:t xml:space="preserve">n del informe, según lo dispone la </w:t>
      </w:r>
      <w:r w:rsidR="00EB7A57">
        <w:rPr>
          <w:rFonts w:ascii="ArialMT" w:eastAsia="Times New Roman" w:hAnsi="ArialMT" w:cs="Times New Roman"/>
          <w:color w:val="FF0000"/>
          <w:lang w:eastAsia="es-ES_tradnl"/>
        </w:rPr>
        <w:t>A</w:t>
      </w:r>
      <w:r>
        <w:rPr>
          <w:rFonts w:ascii="ArialMT" w:eastAsia="Times New Roman" w:hAnsi="ArialMT" w:cs="Times New Roman"/>
          <w:color w:val="FF0000"/>
          <w:lang w:eastAsia="es-ES_tradnl"/>
        </w:rPr>
        <w:t>uditor</w:t>
      </w:r>
      <w:r w:rsidR="00EB7A57">
        <w:rPr>
          <w:rFonts w:ascii="ArialMT" w:eastAsia="Times New Roman" w:hAnsi="ArialMT" w:cs="Times New Roman"/>
          <w:color w:val="FF0000"/>
          <w:lang w:eastAsia="es-ES_tradnl"/>
        </w:rPr>
        <w:t>í</w:t>
      </w:r>
      <w:r>
        <w:rPr>
          <w:rFonts w:ascii="ArialMT" w:eastAsia="Times New Roman" w:hAnsi="ArialMT" w:cs="Times New Roman"/>
          <w:color w:val="FF0000"/>
          <w:lang w:eastAsia="es-ES_tradnl"/>
        </w:rPr>
        <w:t xml:space="preserve">a </w:t>
      </w:r>
      <w:r w:rsidR="00EB7A57">
        <w:rPr>
          <w:rFonts w:ascii="ArialMT" w:eastAsia="Times New Roman" w:hAnsi="ArialMT" w:cs="Times New Roman"/>
          <w:color w:val="FF0000"/>
          <w:lang w:eastAsia="es-ES_tradnl"/>
        </w:rPr>
        <w:t>S</w:t>
      </w:r>
      <w:r>
        <w:rPr>
          <w:rFonts w:ascii="ArialMT" w:eastAsia="Times New Roman" w:hAnsi="ArialMT" w:cs="Times New Roman"/>
          <w:color w:val="FF0000"/>
          <w:lang w:eastAsia="es-ES_tradnl"/>
        </w:rPr>
        <w:t xml:space="preserve">uperior de la </w:t>
      </w:r>
      <w:r w:rsidR="00EB7A57">
        <w:rPr>
          <w:rFonts w:ascii="ArialMT" w:eastAsia="Times New Roman" w:hAnsi="ArialMT" w:cs="Times New Roman"/>
          <w:color w:val="FF0000"/>
          <w:lang w:eastAsia="es-ES_tradnl"/>
        </w:rPr>
        <w:t>F</w:t>
      </w:r>
      <w:r>
        <w:rPr>
          <w:rFonts w:ascii="ArialMT" w:eastAsia="Times New Roman" w:hAnsi="ArialMT" w:cs="Times New Roman"/>
          <w:color w:val="FF0000"/>
          <w:lang w:eastAsia="es-ES_tradnl"/>
        </w:rPr>
        <w:t xml:space="preserve">ederacion en el documento denominado </w:t>
      </w:r>
      <w:r w:rsidR="00EB7A57">
        <w:rPr>
          <w:rFonts w:ascii="ArialMT" w:eastAsia="Times New Roman" w:hAnsi="ArialMT" w:cs="Times New Roman"/>
          <w:color w:val="FF0000"/>
          <w:lang w:eastAsia="es-ES_tradnl"/>
        </w:rPr>
        <w:t>“</w:t>
      </w:r>
      <w:r w:rsidR="00EB7A57" w:rsidRPr="00EB7A57">
        <w:rPr>
          <w:rFonts w:ascii="ArialMT" w:eastAsia="Times New Roman" w:hAnsi="ArialMT" w:cs="Times New Roman"/>
          <w:i/>
          <w:iCs/>
          <w:color w:val="FF0000"/>
          <w:lang w:eastAsia="es-ES_tradnl"/>
        </w:rPr>
        <w:t>I</w:t>
      </w:r>
      <w:r w:rsidRPr="00EB7A57">
        <w:rPr>
          <w:rFonts w:ascii="ArialMT" w:eastAsia="Times New Roman" w:hAnsi="ArialMT" w:cs="Times New Roman"/>
          <w:i/>
          <w:iCs/>
          <w:color w:val="FF0000"/>
          <w:lang w:eastAsia="es-ES_tradnl"/>
        </w:rPr>
        <w:t>ntroducción a la auditor</w:t>
      </w:r>
      <w:r w:rsidR="00EB7A57" w:rsidRPr="00EB7A57">
        <w:rPr>
          <w:rFonts w:ascii="ArialMT" w:eastAsia="Times New Roman" w:hAnsi="ArialMT" w:cs="Times New Roman"/>
          <w:i/>
          <w:iCs/>
          <w:color w:val="FF0000"/>
          <w:lang w:eastAsia="es-ES_tradnl"/>
        </w:rPr>
        <w:t>í</w:t>
      </w:r>
      <w:r w:rsidRPr="00EB7A57">
        <w:rPr>
          <w:rFonts w:ascii="ArialMT" w:eastAsia="Times New Roman" w:hAnsi="ArialMT" w:cs="Times New Roman"/>
          <w:i/>
          <w:iCs/>
          <w:color w:val="FF0000"/>
          <w:lang w:eastAsia="es-ES_tradnl"/>
        </w:rPr>
        <w:t>a forense</w:t>
      </w:r>
      <w:r w:rsidR="00EB7A57">
        <w:rPr>
          <w:rFonts w:ascii="ArialMT" w:eastAsia="Times New Roman" w:hAnsi="ArialMT" w:cs="Times New Roman"/>
          <w:color w:val="FF0000"/>
          <w:lang w:eastAsia="es-ES_tradnl"/>
        </w:rPr>
        <w:t>”</w:t>
      </w:r>
      <w:r>
        <w:rPr>
          <w:rFonts w:ascii="ArialMT" w:eastAsia="Times New Roman" w:hAnsi="ArialMT" w:cs="Times New Roman"/>
          <w:color w:val="FF0000"/>
          <w:lang w:eastAsia="es-ES_tradnl"/>
        </w:rPr>
        <w:t xml:space="preserve"> locali</w:t>
      </w:r>
      <w:r w:rsidR="00EB7A57">
        <w:rPr>
          <w:rFonts w:ascii="ArialMT" w:eastAsia="Times New Roman" w:hAnsi="ArialMT" w:cs="Times New Roman"/>
          <w:color w:val="FF0000"/>
          <w:lang w:eastAsia="es-ES_tradnl"/>
        </w:rPr>
        <w:t>z</w:t>
      </w:r>
      <w:r>
        <w:rPr>
          <w:rFonts w:ascii="ArialMT" w:eastAsia="Times New Roman" w:hAnsi="ArialMT" w:cs="Times New Roman"/>
          <w:color w:val="FF0000"/>
          <w:lang w:eastAsia="es-ES_tradnl"/>
        </w:rPr>
        <w:t>able en el siguiente</w:t>
      </w:r>
      <w:r w:rsidR="00602BA7">
        <w:rPr>
          <w:rFonts w:ascii="ArialMT" w:eastAsia="Times New Roman" w:hAnsi="ArialMT" w:cs="Times New Roman"/>
          <w:color w:val="FF0000"/>
          <w:lang w:eastAsia="es-ES_tradnl"/>
        </w:rPr>
        <w:t xml:space="preserve"> </w:t>
      </w:r>
      <w:r>
        <w:rPr>
          <w:rFonts w:ascii="ArialMT" w:eastAsia="Times New Roman" w:hAnsi="ArialMT" w:cs="Times New Roman"/>
          <w:color w:val="FF0000"/>
          <w:lang w:eastAsia="es-ES_tradnl"/>
        </w:rPr>
        <w:t>enlace</w:t>
      </w:r>
      <w:r w:rsidR="00EB7A57">
        <w:rPr>
          <w:rFonts w:ascii="ArialMT" w:eastAsia="Times New Roman" w:hAnsi="ArialMT" w:cs="Times New Roman"/>
          <w:color w:val="FF0000"/>
          <w:lang w:eastAsia="es-ES_tradnl"/>
        </w:rPr>
        <w:t>:</w:t>
      </w:r>
      <w:r>
        <w:rPr>
          <w:rFonts w:ascii="ArialMT" w:eastAsia="Times New Roman" w:hAnsi="ArialMT" w:cs="Times New Roman"/>
          <w:color w:val="FF0000"/>
          <w:lang w:eastAsia="es-ES_tradnl"/>
        </w:rPr>
        <w:t xml:space="preserve"> </w:t>
      </w:r>
      <w:r w:rsidRPr="00EC6C41">
        <w:rPr>
          <w:rFonts w:ascii="ArialMT" w:eastAsia="Times New Roman" w:hAnsi="ArialMT" w:cs="Times New Roman"/>
          <w:i/>
          <w:iCs/>
          <w:color w:val="000000" w:themeColor="text1"/>
          <w:lang w:eastAsia="es-ES_tradnl"/>
        </w:rPr>
        <w:t>http://www.asen.gob.mx/capacitacion/2011/material0328_1.pdf</w:t>
      </w:r>
    </w:p>
    <w:p w14:paraId="1253FD49" w14:textId="77777777" w:rsidR="00516406" w:rsidRPr="00516406" w:rsidRDefault="00516406" w:rsidP="00516406">
      <w:pPr>
        <w:spacing w:before="100" w:beforeAutospacing="1" w:after="100" w:afterAutospacing="1"/>
        <w:rPr>
          <w:rFonts w:ascii="Times New Roman" w:eastAsia="Times New Roman" w:hAnsi="Times New Roman" w:cs="Times New Roman"/>
          <w:color w:val="FF0000"/>
          <w:lang w:eastAsia="es-ES_tradnl"/>
        </w:rPr>
      </w:pPr>
    </w:p>
    <w:p w14:paraId="33BC90AE" w14:textId="640727FE" w:rsidR="00516406" w:rsidRDefault="00516406" w:rsidP="00797A93">
      <w:pPr>
        <w:spacing w:before="100" w:beforeAutospacing="1" w:after="100" w:afterAutospacing="1"/>
        <w:jc w:val="both"/>
        <w:rPr>
          <w:rFonts w:ascii="ArialMT" w:eastAsia="Times New Roman" w:hAnsi="ArialMT" w:cs="Times New Roman"/>
          <w:sz w:val="22"/>
          <w:szCs w:val="22"/>
          <w:lang w:eastAsia="es-ES_tradnl"/>
        </w:rPr>
      </w:pPr>
    </w:p>
    <w:p w14:paraId="334A29CD" w14:textId="77777777" w:rsidR="00A8010E" w:rsidRDefault="00A8010E" w:rsidP="00A8010E">
      <w:pPr>
        <w:jc w:val="both"/>
      </w:pPr>
    </w:p>
    <w:sectPr w:rsidR="00A801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60A3" w14:textId="77777777" w:rsidR="00397958" w:rsidRDefault="00397958" w:rsidP="00622344">
      <w:r>
        <w:separator/>
      </w:r>
    </w:p>
  </w:endnote>
  <w:endnote w:type="continuationSeparator" w:id="0">
    <w:p w14:paraId="064C1183" w14:textId="77777777" w:rsidR="00397958" w:rsidRDefault="00397958" w:rsidP="0062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1382" w14:textId="77777777" w:rsidR="00397958" w:rsidRDefault="00397958" w:rsidP="00622344">
      <w:r>
        <w:separator/>
      </w:r>
    </w:p>
  </w:footnote>
  <w:footnote w:type="continuationSeparator" w:id="0">
    <w:p w14:paraId="56F73660" w14:textId="77777777" w:rsidR="00397958" w:rsidRDefault="00397958" w:rsidP="00622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ABF"/>
    <w:multiLevelType w:val="multilevel"/>
    <w:tmpl w:val="D096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32558E"/>
    <w:multiLevelType w:val="multilevel"/>
    <w:tmpl w:val="DDD61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0E"/>
    <w:rsid w:val="001F3EB6"/>
    <w:rsid w:val="00230CB2"/>
    <w:rsid w:val="003633DC"/>
    <w:rsid w:val="00397958"/>
    <w:rsid w:val="00516406"/>
    <w:rsid w:val="005766AB"/>
    <w:rsid w:val="00602BA7"/>
    <w:rsid w:val="00617C52"/>
    <w:rsid w:val="00622344"/>
    <w:rsid w:val="00622FC3"/>
    <w:rsid w:val="00797A93"/>
    <w:rsid w:val="007B6544"/>
    <w:rsid w:val="008F0261"/>
    <w:rsid w:val="00A52BBC"/>
    <w:rsid w:val="00A8010E"/>
    <w:rsid w:val="00A849C1"/>
    <w:rsid w:val="00AC23B8"/>
    <w:rsid w:val="00C13FBB"/>
    <w:rsid w:val="00DD2926"/>
    <w:rsid w:val="00EB7A57"/>
    <w:rsid w:val="00EC6C41"/>
    <w:rsid w:val="00EE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3A8B"/>
  <w15:chartTrackingRefBased/>
  <w15:docId w15:val="{AEACEA5A-F2AF-5C44-8D2D-71D3795E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010E"/>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8F0261"/>
    <w:pPr>
      <w:ind w:left="708"/>
      <w:jc w:val="both"/>
    </w:pPr>
    <w:rPr>
      <w:rFonts w:ascii="Times New Roman" w:eastAsia="Times New Roman" w:hAnsi="Times New Roman" w:cs="Times New Roman"/>
      <w:lang w:val="es-ES" w:eastAsia="es-ES"/>
    </w:rPr>
  </w:style>
  <w:style w:type="table" w:styleId="Tablaconcuadrcula">
    <w:name w:val="Table Grid"/>
    <w:basedOn w:val="Tablanormal"/>
    <w:uiPriority w:val="59"/>
    <w:rsid w:val="008F0261"/>
    <w:rPr>
      <w:rFonts w:ascii="Cambria" w:eastAsia="Cambria" w:hAnsi="Cambria" w:cs="Cambria"/>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2344"/>
    <w:pPr>
      <w:tabs>
        <w:tab w:val="center" w:pos="4252"/>
        <w:tab w:val="right" w:pos="8504"/>
      </w:tabs>
    </w:pPr>
  </w:style>
  <w:style w:type="character" w:customStyle="1" w:styleId="EncabezadoCar">
    <w:name w:val="Encabezado Car"/>
    <w:basedOn w:val="Fuentedeprrafopredeter"/>
    <w:link w:val="Encabezado"/>
    <w:uiPriority w:val="99"/>
    <w:rsid w:val="00622344"/>
  </w:style>
  <w:style w:type="paragraph" w:styleId="Piedepgina">
    <w:name w:val="footer"/>
    <w:basedOn w:val="Normal"/>
    <w:link w:val="PiedepginaCar"/>
    <w:uiPriority w:val="99"/>
    <w:unhideWhenUsed/>
    <w:rsid w:val="00622344"/>
    <w:pPr>
      <w:tabs>
        <w:tab w:val="center" w:pos="4252"/>
        <w:tab w:val="right" w:pos="8504"/>
      </w:tabs>
    </w:pPr>
  </w:style>
  <w:style w:type="character" w:customStyle="1" w:styleId="PiedepginaCar">
    <w:name w:val="Pie de página Car"/>
    <w:basedOn w:val="Fuentedeprrafopredeter"/>
    <w:link w:val="Piedepgina"/>
    <w:uiPriority w:val="99"/>
    <w:rsid w:val="0062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6934">
      <w:bodyDiv w:val="1"/>
      <w:marLeft w:val="0"/>
      <w:marRight w:val="0"/>
      <w:marTop w:val="0"/>
      <w:marBottom w:val="0"/>
      <w:divBdr>
        <w:top w:val="none" w:sz="0" w:space="0" w:color="auto"/>
        <w:left w:val="none" w:sz="0" w:space="0" w:color="auto"/>
        <w:bottom w:val="none" w:sz="0" w:space="0" w:color="auto"/>
        <w:right w:val="none" w:sz="0" w:space="0" w:color="auto"/>
      </w:divBdr>
      <w:divsChild>
        <w:div w:id="1410691721">
          <w:marLeft w:val="0"/>
          <w:marRight w:val="0"/>
          <w:marTop w:val="0"/>
          <w:marBottom w:val="0"/>
          <w:divBdr>
            <w:top w:val="none" w:sz="0" w:space="0" w:color="auto"/>
            <w:left w:val="none" w:sz="0" w:space="0" w:color="auto"/>
            <w:bottom w:val="none" w:sz="0" w:space="0" w:color="auto"/>
            <w:right w:val="none" w:sz="0" w:space="0" w:color="auto"/>
          </w:divBdr>
          <w:divsChild>
            <w:div w:id="1931157925">
              <w:marLeft w:val="0"/>
              <w:marRight w:val="0"/>
              <w:marTop w:val="0"/>
              <w:marBottom w:val="0"/>
              <w:divBdr>
                <w:top w:val="none" w:sz="0" w:space="0" w:color="auto"/>
                <w:left w:val="none" w:sz="0" w:space="0" w:color="auto"/>
                <w:bottom w:val="none" w:sz="0" w:space="0" w:color="auto"/>
                <w:right w:val="none" w:sz="0" w:space="0" w:color="auto"/>
              </w:divBdr>
              <w:divsChild>
                <w:div w:id="1267695498">
                  <w:marLeft w:val="0"/>
                  <w:marRight w:val="0"/>
                  <w:marTop w:val="0"/>
                  <w:marBottom w:val="0"/>
                  <w:divBdr>
                    <w:top w:val="none" w:sz="0" w:space="0" w:color="auto"/>
                    <w:left w:val="none" w:sz="0" w:space="0" w:color="auto"/>
                    <w:bottom w:val="none" w:sz="0" w:space="0" w:color="auto"/>
                    <w:right w:val="none" w:sz="0" w:space="0" w:color="auto"/>
                  </w:divBdr>
                </w:div>
              </w:divsChild>
            </w:div>
            <w:div w:id="1427964998">
              <w:marLeft w:val="0"/>
              <w:marRight w:val="0"/>
              <w:marTop w:val="0"/>
              <w:marBottom w:val="0"/>
              <w:divBdr>
                <w:top w:val="none" w:sz="0" w:space="0" w:color="auto"/>
                <w:left w:val="none" w:sz="0" w:space="0" w:color="auto"/>
                <w:bottom w:val="none" w:sz="0" w:space="0" w:color="auto"/>
                <w:right w:val="none" w:sz="0" w:space="0" w:color="auto"/>
              </w:divBdr>
              <w:divsChild>
                <w:div w:id="1178882449">
                  <w:marLeft w:val="0"/>
                  <w:marRight w:val="0"/>
                  <w:marTop w:val="0"/>
                  <w:marBottom w:val="0"/>
                  <w:divBdr>
                    <w:top w:val="none" w:sz="0" w:space="0" w:color="auto"/>
                    <w:left w:val="none" w:sz="0" w:space="0" w:color="auto"/>
                    <w:bottom w:val="none" w:sz="0" w:space="0" w:color="auto"/>
                    <w:right w:val="none" w:sz="0" w:space="0" w:color="auto"/>
                  </w:divBdr>
                </w:div>
              </w:divsChild>
            </w:div>
            <w:div w:id="1007444934">
              <w:marLeft w:val="0"/>
              <w:marRight w:val="0"/>
              <w:marTop w:val="0"/>
              <w:marBottom w:val="0"/>
              <w:divBdr>
                <w:top w:val="none" w:sz="0" w:space="0" w:color="auto"/>
                <w:left w:val="none" w:sz="0" w:space="0" w:color="auto"/>
                <w:bottom w:val="none" w:sz="0" w:space="0" w:color="auto"/>
                <w:right w:val="none" w:sz="0" w:space="0" w:color="auto"/>
              </w:divBdr>
              <w:divsChild>
                <w:div w:id="20076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718">
          <w:marLeft w:val="0"/>
          <w:marRight w:val="0"/>
          <w:marTop w:val="0"/>
          <w:marBottom w:val="0"/>
          <w:divBdr>
            <w:top w:val="none" w:sz="0" w:space="0" w:color="auto"/>
            <w:left w:val="none" w:sz="0" w:space="0" w:color="auto"/>
            <w:bottom w:val="none" w:sz="0" w:space="0" w:color="auto"/>
            <w:right w:val="none" w:sz="0" w:space="0" w:color="auto"/>
          </w:divBdr>
          <w:divsChild>
            <w:div w:id="719324001">
              <w:marLeft w:val="0"/>
              <w:marRight w:val="0"/>
              <w:marTop w:val="0"/>
              <w:marBottom w:val="0"/>
              <w:divBdr>
                <w:top w:val="none" w:sz="0" w:space="0" w:color="auto"/>
                <w:left w:val="none" w:sz="0" w:space="0" w:color="auto"/>
                <w:bottom w:val="none" w:sz="0" w:space="0" w:color="auto"/>
                <w:right w:val="none" w:sz="0" w:space="0" w:color="auto"/>
              </w:divBdr>
              <w:divsChild>
                <w:div w:id="276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4692">
          <w:marLeft w:val="0"/>
          <w:marRight w:val="0"/>
          <w:marTop w:val="0"/>
          <w:marBottom w:val="0"/>
          <w:divBdr>
            <w:top w:val="none" w:sz="0" w:space="0" w:color="auto"/>
            <w:left w:val="none" w:sz="0" w:space="0" w:color="auto"/>
            <w:bottom w:val="none" w:sz="0" w:space="0" w:color="auto"/>
            <w:right w:val="none" w:sz="0" w:space="0" w:color="auto"/>
          </w:divBdr>
          <w:divsChild>
            <w:div w:id="1524250867">
              <w:marLeft w:val="0"/>
              <w:marRight w:val="0"/>
              <w:marTop w:val="0"/>
              <w:marBottom w:val="0"/>
              <w:divBdr>
                <w:top w:val="none" w:sz="0" w:space="0" w:color="auto"/>
                <w:left w:val="none" w:sz="0" w:space="0" w:color="auto"/>
                <w:bottom w:val="none" w:sz="0" w:space="0" w:color="auto"/>
                <w:right w:val="none" w:sz="0" w:space="0" w:color="auto"/>
              </w:divBdr>
              <w:divsChild>
                <w:div w:id="2964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6203">
      <w:bodyDiv w:val="1"/>
      <w:marLeft w:val="0"/>
      <w:marRight w:val="0"/>
      <w:marTop w:val="0"/>
      <w:marBottom w:val="0"/>
      <w:divBdr>
        <w:top w:val="none" w:sz="0" w:space="0" w:color="auto"/>
        <w:left w:val="none" w:sz="0" w:space="0" w:color="auto"/>
        <w:bottom w:val="none" w:sz="0" w:space="0" w:color="auto"/>
        <w:right w:val="none" w:sz="0" w:space="0" w:color="auto"/>
      </w:divBdr>
      <w:divsChild>
        <w:div w:id="1011882848">
          <w:marLeft w:val="0"/>
          <w:marRight w:val="0"/>
          <w:marTop w:val="0"/>
          <w:marBottom w:val="0"/>
          <w:divBdr>
            <w:top w:val="none" w:sz="0" w:space="0" w:color="auto"/>
            <w:left w:val="none" w:sz="0" w:space="0" w:color="auto"/>
            <w:bottom w:val="none" w:sz="0" w:space="0" w:color="auto"/>
            <w:right w:val="none" w:sz="0" w:space="0" w:color="auto"/>
          </w:divBdr>
          <w:divsChild>
            <w:div w:id="545072335">
              <w:marLeft w:val="0"/>
              <w:marRight w:val="0"/>
              <w:marTop w:val="0"/>
              <w:marBottom w:val="0"/>
              <w:divBdr>
                <w:top w:val="none" w:sz="0" w:space="0" w:color="auto"/>
                <w:left w:val="none" w:sz="0" w:space="0" w:color="auto"/>
                <w:bottom w:val="none" w:sz="0" w:space="0" w:color="auto"/>
                <w:right w:val="none" w:sz="0" w:space="0" w:color="auto"/>
              </w:divBdr>
              <w:divsChild>
                <w:div w:id="870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3418">
      <w:bodyDiv w:val="1"/>
      <w:marLeft w:val="0"/>
      <w:marRight w:val="0"/>
      <w:marTop w:val="0"/>
      <w:marBottom w:val="0"/>
      <w:divBdr>
        <w:top w:val="none" w:sz="0" w:space="0" w:color="auto"/>
        <w:left w:val="none" w:sz="0" w:space="0" w:color="auto"/>
        <w:bottom w:val="none" w:sz="0" w:space="0" w:color="auto"/>
        <w:right w:val="none" w:sz="0" w:space="0" w:color="auto"/>
      </w:divBdr>
      <w:divsChild>
        <w:div w:id="67770845">
          <w:marLeft w:val="0"/>
          <w:marRight w:val="0"/>
          <w:marTop w:val="0"/>
          <w:marBottom w:val="0"/>
          <w:divBdr>
            <w:top w:val="none" w:sz="0" w:space="0" w:color="auto"/>
            <w:left w:val="none" w:sz="0" w:space="0" w:color="auto"/>
            <w:bottom w:val="none" w:sz="0" w:space="0" w:color="auto"/>
            <w:right w:val="none" w:sz="0" w:space="0" w:color="auto"/>
          </w:divBdr>
          <w:divsChild>
            <w:div w:id="280887519">
              <w:marLeft w:val="0"/>
              <w:marRight w:val="0"/>
              <w:marTop w:val="0"/>
              <w:marBottom w:val="0"/>
              <w:divBdr>
                <w:top w:val="none" w:sz="0" w:space="0" w:color="auto"/>
                <w:left w:val="none" w:sz="0" w:space="0" w:color="auto"/>
                <w:bottom w:val="none" w:sz="0" w:space="0" w:color="auto"/>
                <w:right w:val="none" w:sz="0" w:space="0" w:color="auto"/>
              </w:divBdr>
              <w:divsChild>
                <w:div w:id="12981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9750">
      <w:bodyDiv w:val="1"/>
      <w:marLeft w:val="0"/>
      <w:marRight w:val="0"/>
      <w:marTop w:val="0"/>
      <w:marBottom w:val="0"/>
      <w:divBdr>
        <w:top w:val="none" w:sz="0" w:space="0" w:color="auto"/>
        <w:left w:val="none" w:sz="0" w:space="0" w:color="auto"/>
        <w:bottom w:val="none" w:sz="0" w:space="0" w:color="auto"/>
        <w:right w:val="none" w:sz="0" w:space="0" w:color="auto"/>
      </w:divBdr>
      <w:divsChild>
        <w:div w:id="1062753642">
          <w:marLeft w:val="0"/>
          <w:marRight w:val="0"/>
          <w:marTop w:val="0"/>
          <w:marBottom w:val="0"/>
          <w:divBdr>
            <w:top w:val="none" w:sz="0" w:space="0" w:color="auto"/>
            <w:left w:val="none" w:sz="0" w:space="0" w:color="auto"/>
            <w:bottom w:val="none" w:sz="0" w:space="0" w:color="auto"/>
            <w:right w:val="none" w:sz="0" w:space="0" w:color="auto"/>
          </w:divBdr>
          <w:divsChild>
            <w:div w:id="554465390">
              <w:marLeft w:val="0"/>
              <w:marRight w:val="0"/>
              <w:marTop w:val="0"/>
              <w:marBottom w:val="0"/>
              <w:divBdr>
                <w:top w:val="none" w:sz="0" w:space="0" w:color="auto"/>
                <w:left w:val="none" w:sz="0" w:space="0" w:color="auto"/>
                <w:bottom w:val="none" w:sz="0" w:space="0" w:color="auto"/>
                <w:right w:val="none" w:sz="0" w:space="0" w:color="auto"/>
              </w:divBdr>
              <w:divsChild>
                <w:div w:id="198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0052">
      <w:bodyDiv w:val="1"/>
      <w:marLeft w:val="0"/>
      <w:marRight w:val="0"/>
      <w:marTop w:val="0"/>
      <w:marBottom w:val="0"/>
      <w:divBdr>
        <w:top w:val="none" w:sz="0" w:space="0" w:color="auto"/>
        <w:left w:val="none" w:sz="0" w:space="0" w:color="auto"/>
        <w:bottom w:val="none" w:sz="0" w:space="0" w:color="auto"/>
        <w:right w:val="none" w:sz="0" w:space="0" w:color="auto"/>
      </w:divBdr>
      <w:divsChild>
        <w:div w:id="1066614431">
          <w:marLeft w:val="0"/>
          <w:marRight w:val="0"/>
          <w:marTop w:val="0"/>
          <w:marBottom w:val="0"/>
          <w:divBdr>
            <w:top w:val="none" w:sz="0" w:space="0" w:color="auto"/>
            <w:left w:val="none" w:sz="0" w:space="0" w:color="auto"/>
            <w:bottom w:val="none" w:sz="0" w:space="0" w:color="auto"/>
            <w:right w:val="none" w:sz="0" w:space="0" w:color="auto"/>
          </w:divBdr>
          <w:divsChild>
            <w:div w:id="927883242">
              <w:marLeft w:val="0"/>
              <w:marRight w:val="0"/>
              <w:marTop w:val="0"/>
              <w:marBottom w:val="0"/>
              <w:divBdr>
                <w:top w:val="none" w:sz="0" w:space="0" w:color="auto"/>
                <w:left w:val="none" w:sz="0" w:space="0" w:color="auto"/>
                <w:bottom w:val="none" w:sz="0" w:space="0" w:color="auto"/>
                <w:right w:val="none" w:sz="0" w:space="0" w:color="auto"/>
              </w:divBdr>
              <w:divsChild>
                <w:div w:id="1788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Vera Alvarez</cp:lastModifiedBy>
  <cp:revision>2</cp:revision>
  <dcterms:created xsi:type="dcterms:W3CDTF">2021-10-21T02:33:00Z</dcterms:created>
  <dcterms:modified xsi:type="dcterms:W3CDTF">2021-10-21T02:33:00Z</dcterms:modified>
</cp:coreProperties>
</file>