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4CEBC" w14:textId="77777777" w:rsidR="005057EE" w:rsidRPr="00322491" w:rsidRDefault="00E56D38" w:rsidP="00322491">
      <w:pPr>
        <w:spacing w:line="276" w:lineRule="auto"/>
        <w:rPr>
          <w:rFonts w:ascii="Calibri Light" w:hAnsi="Calibri Light" w:cs="Calibri Light"/>
          <w:b/>
          <w:sz w:val="30"/>
          <w:szCs w:val="30"/>
        </w:rPr>
      </w:pPr>
      <w:r>
        <w:rPr>
          <w:rFonts w:ascii="Calibri Light" w:hAnsi="Calibri Light" w:cs="Calibri Light"/>
          <w:b/>
          <w:sz w:val="30"/>
          <w:szCs w:val="30"/>
        </w:rPr>
        <w:t>Caso práctico</w:t>
      </w:r>
      <w:r w:rsidR="005057EE" w:rsidRPr="00322491">
        <w:rPr>
          <w:rFonts w:ascii="Calibri Light" w:hAnsi="Calibri Light" w:cs="Calibri Light"/>
          <w:b/>
          <w:sz w:val="30"/>
          <w:szCs w:val="30"/>
        </w:rPr>
        <w:t>.</w:t>
      </w:r>
    </w:p>
    <w:p w14:paraId="07FBE4E8" w14:textId="77777777" w:rsidR="0073324F" w:rsidRDefault="0073324F" w:rsidP="007D1F9F">
      <w:pPr>
        <w:spacing w:line="276" w:lineRule="auto"/>
        <w:rPr>
          <w:rFonts w:ascii="Calibri Light" w:hAnsi="Calibri Light" w:cs="Calibri Light"/>
          <w:b/>
          <w:sz w:val="26"/>
          <w:szCs w:val="26"/>
        </w:rPr>
      </w:pPr>
    </w:p>
    <w:p w14:paraId="65894D41" w14:textId="77777777" w:rsidR="00820DD2" w:rsidRDefault="00820DD2" w:rsidP="007D1F9F">
      <w:pPr>
        <w:spacing w:line="276" w:lineRule="auto"/>
        <w:rPr>
          <w:rFonts w:ascii="Calibri Light" w:hAnsi="Calibri Light" w:cs="Calibri Light"/>
          <w:b/>
          <w:sz w:val="26"/>
          <w:szCs w:val="26"/>
        </w:rPr>
      </w:pPr>
    </w:p>
    <w:p w14:paraId="5F65A08F" w14:textId="77777777" w:rsidR="005057EE" w:rsidRPr="005057EE" w:rsidRDefault="005057EE" w:rsidP="005057EE">
      <w:pPr>
        <w:autoSpaceDE w:val="0"/>
        <w:autoSpaceDN w:val="0"/>
        <w:adjustRightInd w:val="0"/>
        <w:spacing w:line="276" w:lineRule="auto"/>
        <w:rPr>
          <w:rFonts w:cstheme="minorHAnsi"/>
          <w:b/>
          <w:sz w:val="24"/>
          <w:szCs w:val="24"/>
        </w:rPr>
      </w:pPr>
      <w:r w:rsidRPr="005057EE">
        <w:rPr>
          <w:rFonts w:cstheme="minorHAnsi"/>
          <w:b/>
          <w:sz w:val="24"/>
          <w:szCs w:val="24"/>
        </w:rPr>
        <w:t>NOMBRE:</w:t>
      </w:r>
    </w:p>
    <w:p w14:paraId="58CD8802" w14:textId="77777777" w:rsidR="005057EE" w:rsidRDefault="005057EE" w:rsidP="005057EE">
      <w:pPr>
        <w:autoSpaceDE w:val="0"/>
        <w:autoSpaceDN w:val="0"/>
        <w:adjustRightInd w:val="0"/>
        <w:spacing w:line="276" w:lineRule="auto"/>
        <w:rPr>
          <w:rFonts w:cstheme="minorHAnsi"/>
          <w:sz w:val="24"/>
          <w:szCs w:val="24"/>
        </w:rPr>
      </w:pPr>
    </w:p>
    <w:p w14:paraId="5FE78A71" w14:textId="77777777" w:rsidR="00820DD2" w:rsidRPr="005057EE" w:rsidRDefault="00820DD2" w:rsidP="005057EE">
      <w:pPr>
        <w:autoSpaceDE w:val="0"/>
        <w:autoSpaceDN w:val="0"/>
        <w:adjustRightInd w:val="0"/>
        <w:spacing w:line="276" w:lineRule="auto"/>
        <w:rPr>
          <w:rFonts w:cstheme="minorHAnsi"/>
          <w:sz w:val="24"/>
          <w:szCs w:val="24"/>
        </w:rPr>
      </w:pPr>
    </w:p>
    <w:p w14:paraId="50B70976" w14:textId="77777777" w:rsidR="007131F2" w:rsidRDefault="005057EE" w:rsidP="007131F2">
      <w:pPr>
        <w:autoSpaceDE w:val="0"/>
        <w:autoSpaceDN w:val="0"/>
        <w:adjustRightInd w:val="0"/>
        <w:spacing w:line="276" w:lineRule="auto"/>
        <w:rPr>
          <w:rFonts w:cstheme="minorHAnsi"/>
          <w:sz w:val="24"/>
          <w:szCs w:val="24"/>
        </w:rPr>
      </w:pPr>
      <w:r w:rsidRPr="005057EE">
        <w:rPr>
          <w:rFonts w:cstheme="minorHAnsi"/>
          <w:b/>
          <w:sz w:val="24"/>
          <w:szCs w:val="24"/>
        </w:rPr>
        <w:t>INSTRUCCIONES</w:t>
      </w:r>
      <w:r>
        <w:rPr>
          <w:rFonts w:cstheme="minorHAnsi"/>
          <w:b/>
          <w:sz w:val="24"/>
          <w:szCs w:val="24"/>
        </w:rPr>
        <w:t xml:space="preserve">. </w:t>
      </w:r>
      <w:r w:rsidR="00975184">
        <w:rPr>
          <w:rFonts w:cstheme="minorHAnsi"/>
          <w:sz w:val="24"/>
          <w:szCs w:val="24"/>
        </w:rPr>
        <w:t>A las 1</w:t>
      </w:r>
      <w:r w:rsidR="007131F2">
        <w:rPr>
          <w:rFonts w:cstheme="minorHAnsi"/>
          <w:sz w:val="24"/>
          <w:szCs w:val="24"/>
        </w:rPr>
        <w:t xml:space="preserve">0:00 horas </w:t>
      </w:r>
      <w:r w:rsidR="00975184">
        <w:rPr>
          <w:rFonts w:cstheme="minorHAnsi"/>
          <w:sz w:val="24"/>
          <w:szCs w:val="24"/>
        </w:rPr>
        <w:t>del día 7 de agosto de 2020</w:t>
      </w:r>
      <w:r w:rsidR="005F1DEF">
        <w:rPr>
          <w:rFonts w:cstheme="minorHAnsi"/>
          <w:sz w:val="24"/>
          <w:szCs w:val="24"/>
        </w:rPr>
        <w:t xml:space="preserve"> </w:t>
      </w:r>
      <w:r w:rsidR="007131F2">
        <w:rPr>
          <w:rFonts w:cstheme="minorHAnsi"/>
          <w:sz w:val="24"/>
          <w:szCs w:val="24"/>
        </w:rPr>
        <w:t xml:space="preserve">encontraras a nuestra página </w:t>
      </w:r>
      <w:hyperlink r:id="rId8" w:history="1">
        <w:r w:rsidR="007131F2" w:rsidRPr="00B33C05">
          <w:rPr>
            <w:rStyle w:val="Hyperlink"/>
            <w:rFonts w:cstheme="minorHAnsi"/>
            <w:sz w:val="24"/>
            <w:szCs w:val="24"/>
          </w:rPr>
          <w:t>www.cpsjalisco.org</w:t>
        </w:r>
      </w:hyperlink>
      <w:r w:rsidR="007131F2">
        <w:rPr>
          <w:rFonts w:cstheme="minorHAnsi"/>
          <w:sz w:val="24"/>
          <w:szCs w:val="24"/>
        </w:rPr>
        <w:t xml:space="preserve"> este formato, una vez respondido, por favor envíalo a más tardar a las </w:t>
      </w:r>
      <w:r w:rsidR="00975184">
        <w:rPr>
          <w:rFonts w:cstheme="minorHAnsi"/>
          <w:sz w:val="24"/>
          <w:szCs w:val="24"/>
        </w:rPr>
        <w:t>13</w:t>
      </w:r>
      <w:r w:rsidR="007131F2">
        <w:rPr>
          <w:rFonts w:cstheme="minorHAnsi"/>
          <w:sz w:val="24"/>
          <w:szCs w:val="24"/>
        </w:rPr>
        <w:t xml:space="preserve">:00 horas a nuestro correo institucional </w:t>
      </w:r>
      <w:hyperlink r:id="rId9" w:history="1">
        <w:r w:rsidR="007131F2" w:rsidRPr="00B33C05">
          <w:rPr>
            <w:rStyle w:val="Hyperlink"/>
            <w:rFonts w:cstheme="minorHAnsi"/>
            <w:sz w:val="24"/>
            <w:szCs w:val="24"/>
          </w:rPr>
          <w:t>contacto@cpsjalisco.org</w:t>
        </w:r>
      </w:hyperlink>
      <w:r w:rsidR="007131F2">
        <w:rPr>
          <w:rFonts w:cstheme="minorHAnsi"/>
          <w:sz w:val="24"/>
          <w:szCs w:val="24"/>
        </w:rPr>
        <w:t>.</w:t>
      </w:r>
    </w:p>
    <w:p w14:paraId="18F2C9BD" w14:textId="77777777" w:rsidR="007131F2" w:rsidRDefault="007131F2" w:rsidP="005057EE">
      <w:pPr>
        <w:autoSpaceDE w:val="0"/>
        <w:autoSpaceDN w:val="0"/>
        <w:adjustRightInd w:val="0"/>
        <w:spacing w:line="276" w:lineRule="auto"/>
        <w:rPr>
          <w:rFonts w:cstheme="minorHAnsi"/>
          <w:b/>
          <w:sz w:val="24"/>
          <w:szCs w:val="24"/>
        </w:rPr>
      </w:pPr>
    </w:p>
    <w:p w14:paraId="35321148" w14:textId="77777777" w:rsidR="00C13553" w:rsidRDefault="00C13553" w:rsidP="00C13553">
      <w:pPr>
        <w:autoSpaceDE w:val="0"/>
        <w:autoSpaceDN w:val="0"/>
        <w:adjustRightInd w:val="0"/>
        <w:spacing w:line="276" w:lineRule="auto"/>
        <w:rPr>
          <w:rFonts w:cstheme="minorHAnsi"/>
          <w:sz w:val="20"/>
          <w:szCs w:val="20"/>
        </w:rPr>
      </w:pPr>
    </w:p>
    <w:p w14:paraId="5CCDC4C8" w14:textId="77777777" w:rsidR="001F2956" w:rsidRPr="00253E7A" w:rsidRDefault="001F2956" w:rsidP="001F2956">
      <w:pPr>
        <w:autoSpaceDE w:val="0"/>
        <w:autoSpaceDN w:val="0"/>
        <w:adjustRightInd w:val="0"/>
        <w:spacing w:line="276" w:lineRule="auto"/>
        <w:rPr>
          <w:rFonts w:cstheme="minorHAnsi"/>
          <w:sz w:val="24"/>
          <w:szCs w:val="24"/>
        </w:rPr>
      </w:pPr>
      <w:r w:rsidRPr="00253E7A">
        <w:rPr>
          <w:rFonts w:cstheme="minorHAnsi"/>
          <w:sz w:val="24"/>
          <w:szCs w:val="24"/>
        </w:rPr>
        <w:t>La Auditoría Superior del Estado de Jalisco (ASEJ) en cumplimiento de las atribuciones consignadas en la Constitución Política del Estado de Jalisco, la Ley Orgánica del Poder Legislativo del Estado de Jalisco, la Ley de Fiscalización Superior y Rendición de Cuentas del Estado de Jalisco y sus Municipios, así como en el marco del Sistema Estatal Anticorrupción, ha modificado la manera en que efectúa la revisión, examen, y fiscalización de las cuentas públicas de las entidades fiscalizables estatales y municipales.</w:t>
      </w:r>
    </w:p>
    <w:p w14:paraId="5D030D63" w14:textId="77777777" w:rsidR="001F2956" w:rsidRPr="00253E7A" w:rsidRDefault="001F2956" w:rsidP="001F2956">
      <w:pPr>
        <w:autoSpaceDE w:val="0"/>
        <w:autoSpaceDN w:val="0"/>
        <w:adjustRightInd w:val="0"/>
        <w:spacing w:line="276" w:lineRule="auto"/>
        <w:rPr>
          <w:rFonts w:cstheme="minorHAnsi"/>
          <w:sz w:val="24"/>
          <w:szCs w:val="24"/>
        </w:rPr>
      </w:pPr>
    </w:p>
    <w:p w14:paraId="59257BE9" w14:textId="77777777" w:rsidR="001F2956" w:rsidRPr="001F2956" w:rsidRDefault="001F2956" w:rsidP="00253E7A">
      <w:pPr>
        <w:autoSpaceDE w:val="0"/>
        <w:autoSpaceDN w:val="0"/>
        <w:adjustRightInd w:val="0"/>
        <w:spacing w:line="276" w:lineRule="auto"/>
        <w:rPr>
          <w:rFonts w:cstheme="minorHAnsi"/>
          <w:sz w:val="20"/>
          <w:szCs w:val="20"/>
        </w:rPr>
      </w:pPr>
      <w:r w:rsidRPr="00253E7A">
        <w:rPr>
          <w:rFonts w:cstheme="minorHAnsi"/>
          <w:sz w:val="24"/>
          <w:szCs w:val="24"/>
        </w:rPr>
        <w:t>Para tal efecto, el titular de la A</w:t>
      </w:r>
      <w:r w:rsidR="008875CA">
        <w:rPr>
          <w:rFonts w:cstheme="minorHAnsi"/>
          <w:sz w:val="24"/>
          <w:szCs w:val="24"/>
        </w:rPr>
        <w:t>SEJ</w:t>
      </w:r>
      <w:r w:rsidRPr="00253E7A">
        <w:rPr>
          <w:rFonts w:cstheme="minorHAnsi"/>
          <w:sz w:val="24"/>
          <w:szCs w:val="24"/>
        </w:rPr>
        <w:t xml:space="preserve"> ha emitido diversa </w:t>
      </w:r>
      <w:r w:rsidR="00253E7A">
        <w:rPr>
          <w:rFonts w:cstheme="minorHAnsi"/>
          <w:sz w:val="24"/>
          <w:szCs w:val="24"/>
        </w:rPr>
        <w:t>regulación e</w:t>
      </w:r>
      <w:r w:rsidRPr="00253E7A">
        <w:rPr>
          <w:rFonts w:cstheme="minorHAnsi"/>
          <w:sz w:val="24"/>
          <w:szCs w:val="24"/>
        </w:rPr>
        <w:t>ntre la que se encuentra: el Plan Institucional de la Gestión Pública, los Lineamientos del Sistema de Evaluación del Desempeño, Política Institucional de Integridad, Código de Ética, así como el Programa Anual de Evaluación, por mencionar algunos.</w:t>
      </w:r>
    </w:p>
    <w:p w14:paraId="0E0F7788" w14:textId="77777777" w:rsidR="001F2956" w:rsidRPr="001F2956" w:rsidRDefault="001F2956" w:rsidP="001F2956">
      <w:pPr>
        <w:autoSpaceDE w:val="0"/>
        <w:autoSpaceDN w:val="0"/>
        <w:adjustRightInd w:val="0"/>
        <w:spacing w:line="276" w:lineRule="auto"/>
        <w:rPr>
          <w:rFonts w:cstheme="minorHAnsi"/>
          <w:sz w:val="20"/>
          <w:szCs w:val="20"/>
        </w:rPr>
      </w:pPr>
    </w:p>
    <w:p w14:paraId="026966BD" w14:textId="77777777" w:rsidR="001F2956" w:rsidRDefault="005F1DEF" w:rsidP="001F2956">
      <w:pPr>
        <w:autoSpaceDE w:val="0"/>
        <w:autoSpaceDN w:val="0"/>
        <w:adjustRightInd w:val="0"/>
        <w:spacing w:line="276" w:lineRule="auto"/>
        <w:rPr>
          <w:rFonts w:cstheme="minorHAnsi"/>
          <w:sz w:val="24"/>
          <w:szCs w:val="24"/>
        </w:rPr>
      </w:pPr>
      <w:r>
        <w:rPr>
          <w:rFonts w:cstheme="minorHAnsi"/>
          <w:sz w:val="24"/>
          <w:szCs w:val="24"/>
        </w:rPr>
        <w:t>El pasado 31 de enero de 2020</w:t>
      </w:r>
      <w:r w:rsidR="001F2956" w:rsidRPr="00D22D3E">
        <w:rPr>
          <w:rFonts w:cstheme="minorHAnsi"/>
          <w:sz w:val="24"/>
          <w:szCs w:val="24"/>
        </w:rPr>
        <w:t>, el Auditor Superior del Estado de Jalisco aprobó el Programa Anual de Actividades y Auditorías 202</w:t>
      </w:r>
      <w:r>
        <w:rPr>
          <w:rFonts w:cstheme="minorHAnsi"/>
          <w:sz w:val="24"/>
          <w:szCs w:val="24"/>
        </w:rPr>
        <w:t>0</w:t>
      </w:r>
      <w:r w:rsidR="001F2956" w:rsidRPr="00D22D3E">
        <w:rPr>
          <w:rFonts w:cstheme="minorHAnsi"/>
          <w:sz w:val="24"/>
          <w:szCs w:val="24"/>
        </w:rPr>
        <w:t xml:space="preserve"> de la ASEJ (</w:t>
      </w:r>
      <w:proofErr w:type="spellStart"/>
      <w:r w:rsidR="001F2956" w:rsidRPr="00D22D3E">
        <w:rPr>
          <w:rFonts w:cstheme="minorHAnsi"/>
          <w:sz w:val="24"/>
          <w:szCs w:val="24"/>
        </w:rPr>
        <w:t>PAAyA</w:t>
      </w:r>
      <w:proofErr w:type="spellEnd"/>
      <w:r w:rsidR="001F2956" w:rsidRPr="00D22D3E">
        <w:rPr>
          <w:rFonts w:cstheme="minorHAnsi"/>
          <w:sz w:val="24"/>
          <w:szCs w:val="24"/>
        </w:rPr>
        <w:t xml:space="preserve"> 2023), el cual establece que se auditarán 155 entidades mediante la realización de 312 auditorías, desagregadas por tipo: Cumplimiento Financiero (295), Participaciones Federales (7) y Desempeño (10). Dicho documento contiene además el cronograma del Proceso de Fiscali</w:t>
      </w:r>
      <w:r>
        <w:rPr>
          <w:rFonts w:cstheme="minorHAnsi"/>
          <w:sz w:val="24"/>
          <w:szCs w:val="24"/>
        </w:rPr>
        <w:t>zación de la Cuenta Pública 2020</w:t>
      </w:r>
      <w:r w:rsidR="001F2956" w:rsidRPr="00D22D3E">
        <w:rPr>
          <w:rFonts w:cstheme="minorHAnsi"/>
          <w:sz w:val="24"/>
          <w:szCs w:val="24"/>
        </w:rPr>
        <w:t xml:space="preserve"> de las entidades auditables, mism</w:t>
      </w:r>
      <w:r w:rsidR="00D22D3E">
        <w:rPr>
          <w:rFonts w:cstheme="minorHAnsi"/>
          <w:sz w:val="24"/>
          <w:szCs w:val="24"/>
        </w:rPr>
        <w:t>o que se conforma por 7 etapas:</w:t>
      </w:r>
    </w:p>
    <w:p w14:paraId="20971B55" w14:textId="77777777" w:rsidR="00D22D3E" w:rsidRPr="00D22D3E" w:rsidRDefault="00D22D3E" w:rsidP="001F2956">
      <w:pPr>
        <w:autoSpaceDE w:val="0"/>
        <w:autoSpaceDN w:val="0"/>
        <w:adjustRightInd w:val="0"/>
        <w:spacing w:line="276" w:lineRule="auto"/>
        <w:rPr>
          <w:rFonts w:cstheme="minorHAnsi"/>
          <w:sz w:val="24"/>
          <w:szCs w:val="24"/>
        </w:rPr>
      </w:pPr>
    </w:p>
    <w:p w14:paraId="600047F9" w14:textId="77777777" w:rsidR="001F2956" w:rsidRPr="00D22D3E" w:rsidRDefault="00D22D3E" w:rsidP="00D22D3E">
      <w:pPr>
        <w:autoSpaceDE w:val="0"/>
        <w:autoSpaceDN w:val="0"/>
        <w:adjustRightInd w:val="0"/>
        <w:spacing w:line="276" w:lineRule="auto"/>
        <w:ind w:left="284" w:firstLine="142"/>
        <w:rPr>
          <w:rFonts w:cstheme="minorHAnsi"/>
          <w:sz w:val="24"/>
          <w:szCs w:val="24"/>
        </w:rPr>
      </w:pPr>
      <w:r>
        <w:rPr>
          <w:rFonts w:cstheme="minorHAnsi"/>
          <w:sz w:val="24"/>
          <w:szCs w:val="24"/>
        </w:rPr>
        <w:t>1.</w:t>
      </w:r>
      <w:r>
        <w:rPr>
          <w:rFonts w:cstheme="minorHAnsi"/>
          <w:sz w:val="24"/>
          <w:szCs w:val="24"/>
        </w:rPr>
        <w:tab/>
        <w:t>Planeación Genérica.</w:t>
      </w:r>
    </w:p>
    <w:p w14:paraId="05D5FFDD" w14:textId="77777777" w:rsidR="001F2956" w:rsidRPr="00D22D3E" w:rsidRDefault="001F2956" w:rsidP="00D22D3E">
      <w:pPr>
        <w:autoSpaceDE w:val="0"/>
        <w:autoSpaceDN w:val="0"/>
        <w:adjustRightInd w:val="0"/>
        <w:spacing w:line="276" w:lineRule="auto"/>
        <w:ind w:left="284" w:firstLine="142"/>
        <w:rPr>
          <w:rFonts w:cstheme="minorHAnsi"/>
          <w:sz w:val="24"/>
          <w:szCs w:val="24"/>
        </w:rPr>
      </w:pPr>
      <w:r w:rsidRPr="00D22D3E">
        <w:rPr>
          <w:rFonts w:cstheme="minorHAnsi"/>
          <w:sz w:val="24"/>
          <w:szCs w:val="24"/>
        </w:rPr>
        <w:t>2.</w:t>
      </w:r>
      <w:r w:rsidRPr="00D22D3E">
        <w:rPr>
          <w:rFonts w:cstheme="minorHAnsi"/>
          <w:sz w:val="24"/>
          <w:szCs w:val="24"/>
        </w:rPr>
        <w:tab/>
        <w:t>Planeación Específica</w:t>
      </w:r>
      <w:r w:rsidR="00D22D3E">
        <w:rPr>
          <w:rFonts w:cstheme="minorHAnsi"/>
          <w:sz w:val="24"/>
          <w:szCs w:val="24"/>
        </w:rPr>
        <w:t>.</w:t>
      </w:r>
      <w:r w:rsidRPr="00D22D3E">
        <w:rPr>
          <w:rFonts w:cstheme="minorHAnsi"/>
          <w:sz w:val="24"/>
          <w:szCs w:val="24"/>
        </w:rPr>
        <w:t xml:space="preserve"> </w:t>
      </w:r>
    </w:p>
    <w:p w14:paraId="7DC5840B" w14:textId="77777777" w:rsidR="001F2956" w:rsidRPr="00D22D3E" w:rsidRDefault="001F2956" w:rsidP="00D22D3E">
      <w:pPr>
        <w:autoSpaceDE w:val="0"/>
        <w:autoSpaceDN w:val="0"/>
        <w:adjustRightInd w:val="0"/>
        <w:spacing w:line="276" w:lineRule="auto"/>
        <w:ind w:left="284" w:firstLine="142"/>
        <w:rPr>
          <w:rFonts w:cstheme="minorHAnsi"/>
          <w:sz w:val="24"/>
          <w:szCs w:val="24"/>
        </w:rPr>
      </w:pPr>
      <w:r w:rsidRPr="00D22D3E">
        <w:rPr>
          <w:rFonts w:cstheme="minorHAnsi"/>
          <w:sz w:val="24"/>
          <w:szCs w:val="24"/>
        </w:rPr>
        <w:t>3</w:t>
      </w:r>
      <w:r w:rsidR="00D22D3E">
        <w:rPr>
          <w:rFonts w:cstheme="minorHAnsi"/>
          <w:sz w:val="24"/>
          <w:szCs w:val="24"/>
        </w:rPr>
        <w:t>.</w:t>
      </w:r>
      <w:r w:rsidR="00D22D3E">
        <w:rPr>
          <w:rFonts w:cstheme="minorHAnsi"/>
          <w:sz w:val="24"/>
          <w:szCs w:val="24"/>
        </w:rPr>
        <w:tab/>
        <w:t>Ejecución.</w:t>
      </w:r>
    </w:p>
    <w:p w14:paraId="1D679422" w14:textId="77777777" w:rsidR="001F2956" w:rsidRPr="00D22D3E" w:rsidRDefault="00D22D3E" w:rsidP="00D22D3E">
      <w:pPr>
        <w:autoSpaceDE w:val="0"/>
        <w:autoSpaceDN w:val="0"/>
        <w:adjustRightInd w:val="0"/>
        <w:spacing w:line="276" w:lineRule="auto"/>
        <w:ind w:left="284" w:firstLine="142"/>
        <w:rPr>
          <w:rFonts w:cstheme="minorHAnsi"/>
          <w:sz w:val="24"/>
          <w:szCs w:val="24"/>
        </w:rPr>
      </w:pPr>
      <w:r>
        <w:rPr>
          <w:rFonts w:cstheme="minorHAnsi"/>
          <w:sz w:val="24"/>
          <w:szCs w:val="24"/>
        </w:rPr>
        <w:t>4.</w:t>
      </w:r>
      <w:r>
        <w:rPr>
          <w:rFonts w:cstheme="minorHAnsi"/>
          <w:sz w:val="24"/>
          <w:szCs w:val="24"/>
        </w:rPr>
        <w:tab/>
        <w:t>Informes.</w:t>
      </w:r>
    </w:p>
    <w:p w14:paraId="29AA92D3" w14:textId="77777777" w:rsidR="001F2956" w:rsidRPr="00D22D3E" w:rsidRDefault="001F2956" w:rsidP="00D22D3E">
      <w:pPr>
        <w:autoSpaceDE w:val="0"/>
        <w:autoSpaceDN w:val="0"/>
        <w:adjustRightInd w:val="0"/>
        <w:spacing w:line="276" w:lineRule="auto"/>
        <w:ind w:left="284" w:firstLine="142"/>
        <w:rPr>
          <w:rFonts w:cstheme="minorHAnsi"/>
          <w:sz w:val="24"/>
          <w:szCs w:val="24"/>
        </w:rPr>
      </w:pPr>
      <w:r w:rsidRPr="00D22D3E">
        <w:rPr>
          <w:rFonts w:cstheme="minorHAnsi"/>
          <w:sz w:val="24"/>
          <w:szCs w:val="24"/>
        </w:rPr>
        <w:t>5.</w:t>
      </w:r>
      <w:r w:rsidRPr="00D22D3E">
        <w:rPr>
          <w:rFonts w:cstheme="minorHAnsi"/>
          <w:sz w:val="24"/>
          <w:szCs w:val="24"/>
        </w:rPr>
        <w:tab/>
        <w:t>Accione</w:t>
      </w:r>
      <w:r w:rsidR="00D22D3E">
        <w:rPr>
          <w:rFonts w:cstheme="minorHAnsi"/>
          <w:sz w:val="24"/>
          <w:szCs w:val="24"/>
        </w:rPr>
        <w:t>s Derivadas de la Fiscalización.</w:t>
      </w:r>
    </w:p>
    <w:p w14:paraId="0FCF8485" w14:textId="77777777" w:rsidR="001F2956" w:rsidRPr="00D22D3E" w:rsidRDefault="001F2956" w:rsidP="00D22D3E">
      <w:pPr>
        <w:autoSpaceDE w:val="0"/>
        <w:autoSpaceDN w:val="0"/>
        <w:adjustRightInd w:val="0"/>
        <w:spacing w:line="276" w:lineRule="auto"/>
        <w:ind w:left="284" w:firstLine="142"/>
        <w:rPr>
          <w:rFonts w:cstheme="minorHAnsi"/>
          <w:sz w:val="24"/>
          <w:szCs w:val="24"/>
        </w:rPr>
      </w:pPr>
      <w:r w:rsidRPr="00D22D3E">
        <w:rPr>
          <w:rFonts w:cstheme="minorHAnsi"/>
          <w:sz w:val="24"/>
          <w:szCs w:val="24"/>
        </w:rPr>
        <w:t>6.</w:t>
      </w:r>
      <w:r w:rsidRPr="00D22D3E">
        <w:rPr>
          <w:rFonts w:cstheme="minorHAnsi"/>
          <w:sz w:val="24"/>
          <w:szCs w:val="24"/>
        </w:rPr>
        <w:tab/>
        <w:t>Evaluación de Desempeño de la Actividad Gubernamental, y</w:t>
      </w:r>
    </w:p>
    <w:p w14:paraId="271B89F5" w14:textId="77777777" w:rsidR="001F2956" w:rsidRDefault="001F2956" w:rsidP="00D22D3E">
      <w:pPr>
        <w:autoSpaceDE w:val="0"/>
        <w:autoSpaceDN w:val="0"/>
        <w:adjustRightInd w:val="0"/>
        <w:spacing w:line="276" w:lineRule="auto"/>
        <w:ind w:left="284" w:firstLine="142"/>
        <w:rPr>
          <w:rFonts w:cstheme="minorHAnsi"/>
          <w:sz w:val="24"/>
          <w:szCs w:val="24"/>
        </w:rPr>
      </w:pPr>
      <w:r w:rsidRPr="00D22D3E">
        <w:rPr>
          <w:rFonts w:cstheme="minorHAnsi"/>
          <w:sz w:val="24"/>
          <w:szCs w:val="24"/>
        </w:rPr>
        <w:t>7.</w:t>
      </w:r>
      <w:r w:rsidRPr="00D22D3E">
        <w:rPr>
          <w:rFonts w:cstheme="minorHAnsi"/>
          <w:sz w:val="24"/>
          <w:szCs w:val="24"/>
        </w:rPr>
        <w:tab/>
        <w:t>Transparencia.</w:t>
      </w:r>
    </w:p>
    <w:p w14:paraId="668832D9" w14:textId="77777777" w:rsidR="00D22D3E" w:rsidRDefault="00D22D3E" w:rsidP="008875CA">
      <w:pPr>
        <w:autoSpaceDE w:val="0"/>
        <w:autoSpaceDN w:val="0"/>
        <w:adjustRightInd w:val="0"/>
        <w:spacing w:line="276" w:lineRule="auto"/>
        <w:rPr>
          <w:rFonts w:cstheme="minorHAnsi"/>
          <w:sz w:val="24"/>
          <w:szCs w:val="24"/>
        </w:rPr>
      </w:pPr>
    </w:p>
    <w:p w14:paraId="1213AD8A" w14:textId="77777777" w:rsidR="00D22D3E" w:rsidRPr="00D22D3E" w:rsidRDefault="00D22D3E" w:rsidP="008875CA">
      <w:pPr>
        <w:autoSpaceDE w:val="0"/>
        <w:autoSpaceDN w:val="0"/>
        <w:adjustRightInd w:val="0"/>
        <w:spacing w:line="276" w:lineRule="auto"/>
        <w:rPr>
          <w:rFonts w:cstheme="minorHAnsi"/>
          <w:sz w:val="24"/>
          <w:szCs w:val="24"/>
        </w:rPr>
      </w:pPr>
      <w:r>
        <w:rPr>
          <w:rFonts w:cstheme="minorHAnsi"/>
          <w:sz w:val="24"/>
          <w:szCs w:val="24"/>
        </w:rPr>
        <w:t>L</w:t>
      </w:r>
      <w:r w:rsidRPr="00D22D3E">
        <w:rPr>
          <w:rFonts w:cstheme="minorHAnsi"/>
          <w:sz w:val="24"/>
          <w:szCs w:val="24"/>
        </w:rPr>
        <w:t xml:space="preserve">a </w:t>
      </w:r>
      <w:r w:rsidR="008875CA">
        <w:rPr>
          <w:rFonts w:cstheme="minorHAnsi"/>
          <w:sz w:val="24"/>
          <w:szCs w:val="24"/>
        </w:rPr>
        <w:t xml:space="preserve">ASEJ </w:t>
      </w:r>
      <w:r w:rsidRPr="00D22D3E">
        <w:rPr>
          <w:rFonts w:cstheme="minorHAnsi"/>
          <w:sz w:val="24"/>
          <w:szCs w:val="24"/>
        </w:rPr>
        <w:t>efectuó la revisión de la cuenta pública del ejercicio fiscal 2018 del organismo público descentralizado denominado “Instituto Jalisciense de las Américas y Conexos” (en lo sucesivo OPD).</w:t>
      </w:r>
      <w:r w:rsidR="008875CA">
        <w:rPr>
          <w:rFonts w:cstheme="minorHAnsi"/>
          <w:sz w:val="24"/>
          <w:szCs w:val="24"/>
        </w:rPr>
        <w:t xml:space="preserve"> </w:t>
      </w:r>
      <w:r w:rsidRPr="00D22D3E">
        <w:rPr>
          <w:rFonts w:cstheme="minorHAnsi"/>
          <w:sz w:val="24"/>
          <w:szCs w:val="24"/>
        </w:rPr>
        <w:t>La ASEJ levantó el acta de inicio de visita con fecha 17 de junio de 2019, procedi</w:t>
      </w:r>
      <w:r>
        <w:rPr>
          <w:rFonts w:cstheme="minorHAnsi"/>
          <w:sz w:val="24"/>
          <w:szCs w:val="24"/>
        </w:rPr>
        <w:t xml:space="preserve">ó </w:t>
      </w:r>
      <w:r w:rsidRPr="00D22D3E">
        <w:rPr>
          <w:rFonts w:cstheme="minorHAnsi"/>
          <w:sz w:val="24"/>
          <w:szCs w:val="24"/>
        </w:rPr>
        <w:t xml:space="preserve">a realizar el desahogo de </w:t>
      </w:r>
      <w:r w:rsidR="008875CA">
        <w:rPr>
          <w:rFonts w:cstheme="minorHAnsi"/>
          <w:sz w:val="24"/>
          <w:szCs w:val="24"/>
        </w:rPr>
        <w:t>los procedimientos de auditoría</w:t>
      </w:r>
      <w:r w:rsidRPr="00D22D3E">
        <w:rPr>
          <w:rFonts w:cstheme="minorHAnsi"/>
          <w:sz w:val="24"/>
          <w:szCs w:val="24"/>
        </w:rPr>
        <w:t xml:space="preserve"> y levantó el acta de cierre de la visita el día 31 de julio de 2019. Asimismo, el órgano de fiscalización superior procedió a efectuar la notificación de los pliegos de observaciones el día 25 de agosto de 2019, tanto a quien fungió durante el ejercicio auditado como titular del </w:t>
      </w:r>
      <w:proofErr w:type="gramStart"/>
      <w:r w:rsidRPr="00D22D3E">
        <w:rPr>
          <w:rFonts w:cstheme="minorHAnsi"/>
          <w:sz w:val="24"/>
          <w:szCs w:val="24"/>
        </w:rPr>
        <w:t>OPD</w:t>
      </w:r>
      <w:proofErr w:type="gramEnd"/>
      <w:r w:rsidRPr="00D22D3E">
        <w:rPr>
          <w:rFonts w:cstheme="minorHAnsi"/>
          <w:sz w:val="24"/>
          <w:szCs w:val="24"/>
        </w:rPr>
        <w:t xml:space="preserve"> así como a 8 integrantes de la Junta de Gobierno (por ser el máximo</w:t>
      </w:r>
      <w:r>
        <w:rPr>
          <w:rFonts w:cstheme="minorHAnsi"/>
          <w:sz w:val="24"/>
          <w:szCs w:val="24"/>
        </w:rPr>
        <w:t xml:space="preserve"> </w:t>
      </w:r>
      <w:r w:rsidRPr="00D22D3E">
        <w:rPr>
          <w:rFonts w:cstheme="minorHAnsi"/>
          <w:sz w:val="24"/>
          <w:szCs w:val="24"/>
        </w:rPr>
        <w:t>órgano</w:t>
      </w:r>
      <w:r>
        <w:rPr>
          <w:rFonts w:cstheme="minorHAnsi"/>
          <w:sz w:val="24"/>
          <w:szCs w:val="24"/>
        </w:rPr>
        <w:t xml:space="preserve"> de decisión</w:t>
      </w:r>
      <w:r w:rsidRPr="00D22D3E">
        <w:rPr>
          <w:rFonts w:cstheme="minorHAnsi"/>
          <w:sz w:val="24"/>
          <w:szCs w:val="24"/>
        </w:rPr>
        <w:t xml:space="preserve">), otorgándoles un plazo de 30 treinta días hábiles para solventar y justificar las observaciones realizadas. </w:t>
      </w:r>
    </w:p>
    <w:p w14:paraId="17F54088" w14:textId="77777777" w:rsidR="00D22D3E" w:rsidRPr="00D22D3E" w:rsidRDefault="00D22D3E" w:rsidP="008875CA">
      <w:pPr>
        <w:autoSpaceDE w:val="0"/>
        <w:autoSpaceDN w:val="0"/>
        <w:adjustRightInd w:val="0"/>
        <w:spacing w:line="276" w:lineRule="auto"/>
        <w:rPr>
          <w:rFonts w:cstheme="minorHAnsi"/>
          <w:sz w:val="24"/>
          <w:szCs w:val="24"/>
        </w:rPr>
      </w:pPr>
    </w:p>
    <w:p w14:paraId="36B95A21" w14:textId="77777777" w:rsidR="00D22D3E" w:rsidRPr="00D22D3E" w:rsidRDefault="00D22D3E" w:rsidP="008875CA">
      <w:pPr>
        <w:autoSpaceDE w:val="0"/>
        <w:autoSpaceDN w:val="0"/>
        <w:adjustRightInd w:val="0"/>
        <w:spacing w:line="276" w:lineRule="auto"/>
        <w:rPr>
          <w:rFonts w:cstheme="minorHAnsi"/>
          <w:sz w:val="24"/>
          <w:szCs w:val="24"/>
        </w:rPr>
      </w:pPr>
      <w:r w:rsidRPr="00D22D3E">
        <w:rPr>
          <w:rFonts w:cstheme="minorHAnsi"/>
          <w:sz w:val="24"/>
          <w:szCs w:val="24"/>
        </w:rPr>
        <w:t xml:space="preserve">Como parte de los hallazgos contenidos en el pliego de observaciones, la ASEJ formuló la observación número 001 señalando que se presume la existencia de un daño al </w:t>
      </w:r>
      <w:proofErr w:type="gramStart"/>
      <w:r w:rsidRPr="00D22D3E">
        <w:rPr>
          <w:rFonts w:cstheme="minorHAnsi"/>
          <w:sz w:val="24"/>
          <w:szCs w:val="24"/>
        </w:rPr>
        <w:t>erario público</w:t>
      </w:r>
      <w:proofErr w:type="gramEnd"/>
      <w:r w:rsidRPr="00D22D3E">
        <w:rPr>
          <w:rFonts w:cstheme="minorHAnsi"/>
          <w:sz w:val="24"/>
          <w:szCs w:val="24"/>
        </w:rPr>
        <w:t xml:space="preserve"> por la cantidad de $ 25’000,000.00 (veinticinco millones de pesos 00/100 M.N.), en virtud de que se determinó la probable existencia de un desvío de recursos. Lo anterior, toda vez que el OPD adjudicó el día 23 de octubre de 2018 a la empresa Software para Todos, S.A. de C.V.</w:t>
      </w:r>
      <w:r w:rsidR="005F1DEF">
        <w:rPr>
          <w:rFonts w:cstheme="minorHAnsi"/>
          <w:sz w:val="24"/>
          <w:szCs w:val="24"/>
        </w:rPr>
        <w:t>,</w:t>
      </w:r>
      <w:r w:rsidRPr="00D22D3E">
        <w:rPr>
          <w:rFonts w:cstheme="minorHAnsi"/>
          <w:sz w:val="24"/>
          <w:szCs w:val="24"/>
        </w:rPr>
        <w:t xml:space="preserve"> el contrato CS-23-2345/18 por concepto de asesoría y consultoría en informática, efectuándose el pago a la empresa el día 05 de diciembre de 2018 sin adjuntarse a la póliza la documentación que constate la recepción del servicio. La ASEJ indicó que durante el transcurso de la revisión el organismo no acreditó la prestación del servicio contratado, así como que el expediente del procedimiento de adjudicación no había sido proporcionado.</w:t>
      </w:r>
    </w:p>
    <w:p w14:paraId="7FC36AB8" w14:textId="77777777" w:rsidR="00D22D3E" w:rsidRPr="00D22D3E" w:rsidRDefault="00D22D3E" w:rsidP="008875CA">
      <w:pPr>
        <w:autoSpaceDE w:val="0"/>
        <w:autoSpaceDN w:val="0"/>
        <w:adjustRightInd w:val="0"/>
        <w:spacing w:line="276" w:lineRule="auto"/>
        <w:rPr>
          <w:rFonts w:cstheme="minorHAnsi"/>
          <w:sz w:val="24"/>
          <w:szCs w:val="24"/>
        </w:rPr>
      </w:pPr>
    </w:p>
    <w:p w14:paraId="06E200AB" w14:textId="77777777" w:rsidR="00D22D3E" w:rsidRPr="00D22D3E" w:rsidRDefault="00D22D3E" w:rsidP="008875CA">
      <w:pPr>
        <w:autoSpaceDE w:val="0"/>
        <w:autoSpaceDN w:val="0"/>
        <w:adjustRightInd w:val="0"/>
        <w:spacing w:line="276" w:lineRule="auto"/>
        <w:rPr>
          <w:rFonts w:cstheme="minorHAnsi"/>
          <w:sz w:val="24"/>
          <w:szCs w:val="24"/>
        </w:rPr>
      </w:pPr>
      <w:r w:rsidRPr="00D22D3E">
        <w:rPr>
          <w:rFonts w:cstheme="minorHAnsi"/>
          <w:sz w:val="24"/>
          <w:szCs w:val="24"/>
        </w:rPr>
        <w:t>Asimismo, la ASEJ formuló la observación número 002 mediante la cual se determina que el servidor público del OPD Juan “N” no acudió a laborar sin justificación alguna; sin embargo, le fue pagado íntegramente su salario. El servidor público observado ingresó a laborar al organismo el día 01 de enero de 2017 y es primo de quien fuera Director General de Administración del organismo, funcionario que lo contrató no obstante no cumplir con el perfil del puesto. El monto observado asciende a la cantidad de $620,000.00 (seiscientos veinte mil pesos 00/100 M.N.).</w:t>
      </w:r>
    </w:p>
    <w:p w14:paraId="27406249" w14:textId="77777777" w:rsidR="00D22D3E" w:rsidRPr="00D22D3E" w:rsidRDefault="00D22D3E" w:rsidP="008875CA">
      <w:pPr>
        <w:autoSpaceDE w:val="0"/>
        <w:autoSpaceDN w:val="0"/>
        <w:adjustRightInd w:val="0"/>
        <w:spacing w:line="276" w:lineRule="auto"/>
        <w:rPr>
          <w:rFonts w:cstheme="minorHAnsi"/>
          <w:sz w:val="24"/>
          <w:szCs w:val="24"/>
        </w:rPr>
      </w:pPr>
    </w:p>
    <w:p w14:paraId="6C074CE7" w14:textId="77777777" w:rsidR="006806C7" w:rsidRDefault="008F59A5" w:rsidP="006806C7">
      <w:pPr>
        <w:autoSpaceDE w:val="0"/>
        <w:autoSpaceDN w:val="0"/>
        <w:adjustRightInd w:val="0"/>
        <w:spacing w:line="276" w:lineRule="auto"/>
        <w:rPr>
          <w:rFonts w:cstheme="minorHAnsi"/>
          <w:sz w:val="24"/>
          <w:szCs w:val="24"/>
        </w:rPr>
      </w:pPr>
      <w:r>
        <w:rPr>
          <w:rFonts w:cstheme="minorHAnsi"/>
          <w:sz w:val="24"/>
          <w:szCs w:val="24"/>
        </w:rPr>
        <w:t xml:space="preserve">El sujeto </w:t>
      </w:r>
      <w:r w:rsidR="00D22D3E" w:rsidRPr="00D22D3E">
        <w:rPr>
          <w:rFonts w:cstheme="minorHAnsi"/>
          <w:sz w:val="24"/>
          <w:szCs w:val="24"/>
        </w:rPr>
        <w:t>fiscalizable hi</w:t>
      </w:r>
      <w:r>
        <w:rPr>
          <w:rFonts w:cstheme="minorHAnsi"/>
          <w:sz w:val="24"/>
          <w:szCs w:val="24"/>
        </w:rPr>
        <w:t xml:space="preserve">zo </w:t>
      </w:r>
      <w:r w:rsidR="00D22D3E" w:rsidRPr="00D22D3E">
        <w:rPr>
          <w:rFonts w:cstheme="minorHAnsi"/>
          <w:sz w:val="24"/>
          <w:szCs w:val="24"/>
        </w:rPr>
        <w:t xml:space="preserve">entrega a la ASEJ de diversa documentación e información para tratar de solventar las 2 observaciones contenidas </w:t>
      </w:r>
      <w:r>
        <w:rPr>
          <w:rFonts w:cstheme="minorHAnsi"/>
          <w:sz w:val="24"/>
          <w:szCs w:val="24"/>
        </w:rPr>
        <w:t>en los pliegos de observaciones, no obstante,</w:t>
      </w:r>
      <w:r w:rsidR="00D22D3E" w:rsidRPr="00D22D3E">
        <w:rPr>
          <w:rFonts w:cstheme="minorHAnsi"/>
          <w:sz w:val="24"/>
          <w:szCs w:val="24"/>
        </w:rPr>
        <w:t xml:space="preserve"> no dio respuesta en tiempo y forma al pliego de observacio</w:t>
      </w:r>
      <w:r w:rsidR="005D75F6">
        <w:rPr>
          <w:rFonts w:cstheme="minorHAnsi"/>
          <w:sz w:val="24"/>
          <w:szCs w:val="24"/>
        </w:rPr>
        <w:t xml:space="preserve">nes a la ASEJ, presentó el día </w:t>
      </w:r>
      <w:r w:rsidR="00D22D3E" w:rsidRPr="00D22D3E">
        <w:rPr>
          <w:rFonts w:cstheme="minorHAnsi"/>
          <w:sz w:val="24"/>
          <w:szCs w:val="24"/>
        </w:rPr>
        <w:t>7 de junio de 2020 vía oficialía de partes del H. Congreso del Estado de Jalisco, diversa documentación e información solicitando fuera valorada. En su escrito aclaratorio hizo referencia a que en la revisión de la cuenta pública del ejercicio fiscal 2016 del OPD, la Comisión de Vigilancia le recibió documentación fuera del plazo, misma que había sido enviada a la ASEJ por conducto de la propia Comisión, para su valoración e inclusión en un nuevo informe final de auditoría.</w:t>
      </w:r>
      <w:r w:rsidR="006806C7">
        <w:rPr>
          <w:rFonts w:cstheme="minorHAnsi"/>
          <w:sz w:val="24"/>
          <w:szCs w:val="24"/>
        </w:rPr>
        <w:t xml:space="preserve"> </w:t>
      </w:r>
      <w:r w:rsidR="006806C7" w:rsidRPr="00D22D3E">
        <w:rPr>
          <w:rFonts w:cstheme="minorHAnsi"/>
          <w:sz w:val="24"/>
          <w:szCs w:val="24"/>
        </w:rPr>
        <w:t xml:space="preserve">Personal de la ASEJ valoró los argumentos expuestos, así como la documentación proporcionada por los </w:t>
      </w:r>
      <w:proofErr w:type="gramStart"/>
      <w:r w:rsidR="006806C7" w:rsidRPr="00D22D3E">
        <w:rPr>
          <w:rFonts w:cstheme="minorHAnsi"/>
          <w:sz w:val="24"/>
          <w:szCs w:val="24"/>
        </w:rPr>
        <w:t>ex funcionarios</w:t>
      </w:r>
      <w:proofErr w:type="gramEnd"/>
      <w:r w:rsidR="006806C7" w:rsidRPr="00D22D3E">
        <w:rPr>
          <w:rFonts w:cstheme="minorHAnsi"/>
          <w:sz w:val="24"/>
          <w:szCs w:val="24"/>
        </w:rPr>
        <w:t xml:space="preserve">, determinando que las observaciones no fueron </w:t>
      </w:r>
      <w:r w:rsidR="006806C7" w:rsidRPr="00D22D3E">
        <w:rPr>
          <w:rFonts w:cstheme="minorHAnsi"/>
          <w:sz w:val="24"/>
          <w:szCs w:val="24"/>
        </w:rPr>
        <w:lastRenderedPageBreak/>
        <w:t>debidamente solventadas, procediendo a elaborar el Informe Individual de Auditoría, remitiéndolo al H. Congreso del Estado el día 5 de marzo de 2020.</w:t>
      </w:r>
    </w:p>
    <w:p w14:paraId="6F1E3792" w14:textId="77777777" w:rsidR="00D22D3E" w:rsidRPr="00D22D3E" w:rsidRDefault="00D22D3E" w:rsidP="008875CA">
      <w:pPr>
        <w:autoSpaceDE w:val="0"/>
        <w:autoSpaceDN w:val="0"/>
        <w:adjustRightInd w:val="0"/>
        <w:spacing w:line="276" w:lineRule="auto"/>
        <w:rPr>
          <w:rFonts w:cstheme="minorHAnsi"/>
          <w:sz w:val="24"/>
          <w:szCs w:val="24"/>
        </w:rPr>
      </w:pPr>
    </w:p>
    <w:p w14:paraId="7546CD67" w14:textId="77777777" w:rsidR="00D22D3E" w:rsidRDefault="00D22D3E" w:rsidP="008875CA">
      <w:pPr>
        <w:autoSpaceDE w:val="0"/>
        <w:autoSpaceDN w:val="0"/>
        <w:adjustRightInd w:val="0"/>
        <w:spacing w:line="276" w:lineRule="auto"/>
        <w:rPr>
          <w:rFonts w:cstheme="minorHAnsi"/>
          <w:sz w:val="24"/>
          <w:szCs w:val="24"/>
        </w:rPr>
      </w:pPr>
      <w:r w:rsidRPr="00D22D3E">
        <w:rPr>
          <w:rFonts w:cstheme="minorHAnsi"/>
          <w:sz w:val="24"/>
          <w:szCs w:val="24"/>
        </w:rPr>
        <w:t>La Unidad de Vigilancia del H. Congreso del Estado de Jalisco tuvo conocimiento mediante una denuncia anónima de que el auditor Ing. Domingo “N” adscrito a la Dirección de Auditoría a la Obra Pública de la ASEJ recibió $70,000.00 (setenta mil pesos 00/100 M.N.) a cambio de no formular una observación que había detectado por concepto de obra pública no ejecutada y diferencia volumétrica de la obra “Edificio Global siglo XXI”, con motivo de la revisión de la cuenta pública del ejercicio fiscal 2018 del OPD Instituto Jalisciense de las Américas y Conexos. Como parte de la denuncia, se adjuntó copia de correos electrónicos y de estados de cuenta que acreditan que de la cuenta bancaria personal del entonces titular del OPD se realizaron 2 transferencias electrónicas a la cuenta bancaria del auditor el día 30 de agosto de 2019, fecha posterior a la formulación y notificación de los pliegos de observaciones.</w:t>
      </w:r>
    </w:p>
    <w:p w14:paraId="3842E1E1" w14:textId="77777777" w:rsidR="008875CA" w:rsidRPr="00D22D3E" w:rsidRDefault="008875CA" w:rsidP="008875CA">
      <w:pPr>
        <w:autoSpaceDE w:val="0"/>
        <w:autoSpaceDN w:val="0"/>
        <w:adjustRightInd w:val="0"/>
        <w:spacing w:line="276" w:lineRule="auto"/>
        <w:rPr>
          <w:rFonts w:cstheme="minorHAnsi"/>
          <w:sz w:val="24"/>
          <w:szCs w:val="24"/>
        </w:rPr>
      </w:pPr>
    </w:p>
    <w:p w14:paraId="78E03925" w14:textId="77777777" w:rsidR="001F2956" w:rsidRDefault="001F2956" w:rsidP="001F2956">
      <w:pPr>
        <w:autoSpaceDE w:val="0"/>
        <w:autoSpaceDN w:val="0"/>
        <w:adjustRightInd w:val="0"/>
        <w:spacing w:line="276" w:lineRule="auto"/>
        <w:rPr>
          <w:rFonts w:cstheme="minorHAnsi"/>
          <w:sz w:val="20"/>
          <w:szCs w:val="20"/>
        </w:rPr>
      </w:pPr>
    </w:p>
    <w:p w14:paraId="4CFD3A6D" w14:textId="77777777" w:rsidR="008875CA" w:rsidRDefault="008875CA" w:rsidP="001F2956">
      <w:pPr>
        <w:autoSpaceDE w:val="0"/>
        <w:autoSpaceDN w:val="0"/>
        <w:adjustRightInd w:val="0"/>
        <w:spacing w:line="276" w:lineRule="auto"/>
        <w:rPr>
          <w:rFonts w:cstheme="minorHAnsi"/>
          <w:b/>
          <w:sz w:val="24"/>
          <w:szCs w:val="24"/>
          <w:lang w:val="es-MX"/>
        </w:rPr>
      </w:pPr>
      <w:r>
        <w:rPr>
          <w:rFonts w:cstheme="minorHAnsi"/>
          <w:b/>
          <w:sz w:val="24"/>
          <w:szCs w:val="24"/>
          <w:lang w:val="es-MX"/>
        </w:rPr>
        <w:t xml:space="preserve">II. </w:t>
      </w:r>
      <w:r w:rsidRPr="008875CA">
        <w:rPr>
          <w:rFonts w:cstheme="minorHAnsi"/>
          <w:b/>
          <w:sz w:val="24"/>
          <w:szCs w:val="24"/>
          <w:lang w:val="es-MX"/>
        </w:rPr>
        <w:t>Responda los siguientes cuestionamientos fundando y motivando sus respuestas</w:t>
      </w:r>
      <w:r>
        <w:rPr>
          <w:rFonts w:cstheme="minorHAnsi"/>
          <w:b/>
          <w:sz w:val="24"/>
          <w:szCs w:val="24"/>
          <w:lang w:val="es-MX"/>
        </w:rPr>
        <w:t xml:space="preserve"> en su rol de </w:t>
      </w:r>
      <w:r w:rsidRPr="008875CA">
        <w:rPr>
          <w:rFonts w:cstheme="minorHAnsi"/>
          <w:b/>
          <w:sz w:val="24"/>
          <w:szCs w:val="24"/>
          <w:lang w:val="es-MX"/>
        </w:rPr>
        <w:t>Titular de la Unidad de Vigilancia del H. Congreso del Estado de Jalisco.</w:t>
      </w:r>
    </w:p>
    <w:p w14:paraId="29B73659" w14:textId="77777777" w:rsidR="008875CA" w:rsidRDefault="008875CA" w:rsidP="001F2956">
      <w:pPr>
        <w:autoSpaceDE w:val="0"/>
        <w:autoSpaceDN w:val="0"/>
        <w:adjustRightInd w:val="0"/>
        <w:spacing w:line="276" w:lineRule="auto"/>
        <w:rPr>
          <w:rFonts w:cstheme="minorHAnsi"/>
          <w:b/>
          <w:sz w:val="24"/>
          <w:szCs w:val="24"/>
          <w:lang w:val="es-MX"/>
        </w:rPr>
      </w:pPr>
    </w:p>
    <w:p w14:paraId="74ACCA7F" w14:textId="77777777" w:rsidR="008875CA" w:rsidRPr="008875CA" w:rsidRDefault="008875CA" w:rsidP="008875CA">
      <w:pPr>
        <w:pStyle w:val="ListParagraph"/>
        <w:numPr>
          <w:ilvl w:val="0"/>
          <w:numId w:val="9"/>
        </w:numPr>
        <w:autoSpaceDE w:val="0"/>
        <w:autoSpaceDN w:val="0"/>
        <w:adjustRightInd w:val="0"/>
        <w:spacing w:line="276" w:lineRule="auto"/>
        <w:rPr>
          <w:rFonts w:cstheme="minorHAnsi"/>
          <w:sz w:val="24"/>
          <w:szCs w:val="24"/>
        </w:rPr>
      </w:pPr>
      <w:r w:rsidRPr="008875CA">
        <w:rPr>
          <w:rFonts w:cstheme="minorHAnsi"/>
          <w:sz w:val="24"/>
          <w:szCs w:val="24"/>
        </w:rPr>
        <w:t>En cuanto a la evaluación del desempeño de la ASEJ.</w:t>
      </w:r>
    </w:p>
    <w:p w14:paraId="23E165FF" w14:textId="77777777" w:rsidR="008875CA" w:rsidRPr="00496CA6" w:rsidRDefault="00496CA6" w:rsidP="00496CA6">
      <w:pPr>
        <w:pStyle w:val="ListParagraph"/>
        <w:numPr>
          <w:ilvl w:val="1"/>
          <w:numId w:val="9"/>
        </w:numPr>
        <w:autoSpaceDE w:val="0"/>
        <w:autoSpaceDN w:val="0"/>
        <w:adjustRightInd w:val="0"/>
        <w:spacing w:line="276" w:lineRule="auto"/>
        <w:rPr>
          <w:rFonts w:cstheme="minorHAnsi"/>
          <w:sz w:val="24"/>
          <w:szCs w:val="24"/>
        </w:rPr>
      </w:pPr>
      <w:r w:rsidRPr="00496CA6">
        <w:rPr>
          <w:rFonts w:cstheme="minorHAnsi"/>
          <w:sz w:val="24"/>
          <w:szCs w:val="24"/>
        </w:rPr>
        <w:t>En su opinión,</w:t>
      </w:r>
      <w:r w:rsidR="00DA6888">
        <w:rPr>
          <w:rFonts w:cstheme="minorHAnsi"/>
          <w:sz w:val="24"/>
          <w:szCs w:val="24"/>
        </w:rPr>
        <w:t xml:space="preserve"> </w:t>
      </w:r>
      <w:r w:rsidR="00DA6888" w:rsidRPr="00DA6888">
        <w:rPr>
          <w:rFonts w:cstheme="minorHAnsi"/>
          <w:sz w:val="24"/>
          <w:szCs w:val="24"/>
          <w:highlight w:val="yellow"/>
        </w:rPr>
        <w:t>en el caso descrito</w:t>
      </w:r>
      <w:r w:rsidRPr="00496CA6">
        <w:rPr>
          <w:rFonts w:cstheme="minorHAnsi"/>
          <w:sz w:val="24"/>
          <w:szCs w:val="24"/>
        </w:rPr>
        <w:t xml:space="preserve"> ¿cómo la Auditoría Superior del Estado de Jalisco </w:t>
      </w:r>
      <w:r>
        <w:rPr>
          <w:rFonts w:cstheme="minorHAnsi"/>
          <w:sz w:val="24"/>
          <w:szCs w:val="24"/>
        </w:rPr>
        <w:t>debe aplicar</w:t>
      </w:r>
      <w:r w:rsidRPr="00496CA6">
        <w:rPr>
          <w:rFonts w:cstheme="minorHAnsi"/>
          <w:sz w:val="24"/>
          <w:szCs w:val="24"/>
        </w:rPr>
        <w:t xml:space="preserve"> los principios generales de contabilidad gubernamental, en la realización de visitas de auditoría y la emisión del pliego de observaciones?</w:t>
      </w:r>
    </w:p>
    <w:p w14:paraId="1912A4DB" w14:textId="77777777" w:rsidR="008875CA" w:rsidRDefault="0087203F" w:rsidP="0087203F">
      <w:pPr>
        <w:pStyle w:val="ListParagraph"/>
        <w:numPr>
          <w:ilvl w:val="1"/>
          <w:numId w:val="9"/>
        </w:numPr>
        <w:autoSpaceDE w:val="0"/>
        <w:autoSpaceDN w:val="0"/>
        <w:adjustRightInd w:val="0"/>
        <w:spacing w:line="276" w:lineRule="auto"/>
        <w:rPr>
          <w:rFonts w:cstheme="minorHAnsi"/>
          <w:sz w:val="24"/>
          <w:szCs w:val="24"/>
        </w:rPr>
      </w:pPr>
      <w:r w:rsidRPr="0087203F">
        <w:rPr>
          <w:rFonts w:cstheme="minorHAnsi"/>
          <w:sz w:val="24"/>
          <w:szCs w:val="24"/>
        </w:rPr>
        <w:t>Si el Informe Individual de la auditoría al OPD Instituto Jalisciense las Américas y Conexos del ejercicio fiscal 2018 establece que las 2 observaciones formuladas por el órgano de fiscalización superior no fueron solventadas.</w:t>
      </w:r>
      <w:r>
        <w:rPr>
          <w:rFonts w:cstheme="minorHAnsi"/>
          <w:sz w:val="24"/>
          <w:szCs w:val="24"/>
        </w:rPr>
        <w:t xml:space="preserve"> </w:t>
      </w:r>
      <w:r w:rsidRPr="0087203F">
        <w:rPr>
          <w:rFonts w:cstheme="minorHAnsi"/>
          <w:sz w:val="24"/>
          <w:szCs w:val="24"/>
        </w:rPr>
        <w:t>¿</w:t>
      </w:r>
      <w:r>
        <w:rPr>
          <w:rFonts w:cstheme="minorHAnsi"/>
          <w:sz w:val="24"/>
          <w:szCs w:val="24"/>
        </w:rPr>
        <w:t>C</w:t>
      </w:r>
      <w:r w:rsidRPr="0087203F">
        <w:rPr>
          <w:rFonts w:cstheme="minorHAnsi"/>
          <w:sz w:val="24"/>
          <w:szCs w:val="24"/>
        </w:rPr>
        <w:t>uáles serían las acciones derivadas de la fiscalización superior que tiene que realizar la ASEJ respecto de cada una de las observaciones por concepto de determinación de daños?</w:t>
      </w:r>
    </w:p>
    <w:p w14:paraId="7B4B2864" w14:textId="77777777" w:rsidR="00496CA6" w:rsidRDefault="00496CA6" w:rsidP="00496CA6">
      <w:pPr>
        <w:pStyle w:val="ListParagraph"/>
        <w:numPr>
          <w:ilvl w:val="1"/>
          <w:numId w:val="9"/>
        </w:numPr>
        <w:autoSpaceDE w:val="0"/>
        <w:autoSpaceDN w:val="0"/>
        <w:adjustRightInd w:val="0"/>
        <w:spacing w:line="276" w:lineRule="auto"/>
        <w:rPr>
          <w:rFonts w:cstheme="minorHAnsi"/>
          <w:sz w:val="24"/>
          <w:szCs w:val="24"/>
        </w:rPr>
      </w:pPr>
      <w:r w:rsidRPr="00496CA6">
        <w:rPr>
          <w:rFonts w:cstheme="minorHAnsi"/>
          <w:sz w:val="24"/>
          <w:szCs w:val="24"/>
        </w:rPr>
        <w:t xml:space="preserve">¿Cuáles son las formalidades que debe observar la </w:t>
      </w:r>
      <w:r>
        <w:rPr>
          <w:rFonts w:cstheme="minorHAnsi"/>
          <w:sz w:val="24"/>
          <w:szCs w:val="24"/>
        </w:rPr>
        <w:t>ASEJ</w:t>
      </w:r>
      <w:r w:rsidRPr="00496CA6">
        <w:rPr>
          <w:rFonts w:cstheme="minorHAnsi"/>
          <w:sz w:val="24"/>
          <w:szCs w:val="24"/>
        </w:rPr>
        <w:t xml:space="preserve"> en la notificación del pliego de observaciones? Motivar y fundamentar su respuesta.</w:t>
      </w:r>
    </w:p>
    <w:p w14:paraId="0D59856F" w14:textId="77777777" w:rsidR="0087203F" w:rsidRDefault="0087203F" w:rsidP="0087203F">
      <w:pPr>
        <w:pStyle w:val="ListParagraph"/>
        <w:autoSpaceDE w:val="0"/>
        <w:autoSpaceDN w:val="0"/>
        <w:adjustRightInd w:val="0"/>
        <w:spacing w:line="276" w:lineRule="auto"/>
        <w:ind w:left="1080"/>
        <w:rPr>
          <w:rFonts w:cstheme="minorHAnsi"/>
          <w:sz w:val="24"/>
          <w:szCs w:val="24"/>
        </w:rPr>
      </w:pPr>
    </w:p>
    <w:p w14:paraId="3E60A59A" w14:textId="77777777" w:rsidR="0087203F" w:rsidRDefault="0087203F" w:rsidP="0087203F">
      <w:pPr>
        <w:pStyle w:val="ListParagraph"/>
        <w:numPr>
          <w:ilvl w:val="0"/>
          <w:numId w:val="9"/>
        </w:numPr>
        <w:autoSpaceDE w:val="0"/>
        <w:autoSpaceDN w:val="0"/>
        <w:adjustRightInd w:val="0"/>
        <w:spacing w:line="276" w:lineRule="auto"/>
        <w:rPr>
          <w:rFonts w:cstheme="minorHAnsi"/>
          <w:sz w:val="24"/>
          <w:szCs w:val="24"/>
        </w:rPr>
      </w:pPr>
      <w:r>
        <w:rPr>
          <w:rFonts w:cstheme="minorHAnsi"/>
          <w:sz w:val="24"/>
          <w:szCs w:val="24"/>
        </w:rPr>
        <w:t>En cuanto al I</w:t>
      </w:r>
      <w:r w:rsidRPr="0087203F">
        <w:rPr>
          <w:rFonts w:cstheme="minorHAnsi"/>
          <w:sz w:val="24"/>
          <w:szCs w:val="24"/>
        </w:rPr>
        <w:t>nforme anual de gestión financiera y de desempeño de la Auditoría Superior.</w:t>
      </w:r>
    </w:p>
    <w:p w14:paraId="1CBDDA37" w14:textId="77777777" w:rsidR="0087203F" w:rsidRDefault="00496CA6" w:rsidP="0087203F">
      <w:pPr>
        <w:pStyle w:val="ListParagraph"/>
        <w:numPr>
          <w:ilvl w:val="1"/>
          <w:numId w:val="9"/>
        </w:numPr>
        <w:autoSpaceDE w:val="0"/>
        <w:autoSpaceDN w:val="0"/>
        <w:adjustRightInd w:val="0"/>
        <w:spacing w:line="276" w:lineRule="auto"/>
        <w:rPr>
          <w:rFonts w:cstheme="minorHAnsi"/>
          <w:sz w:val="24"/>
          <w:szCs w:val="24"/>
        </w:rPr>
      </w:pPr>
      <w:r>
        <w:rPr>
          <w:rFonts w:cstheme="minorHAnsi"/>
          <w:sz w:val="24"/>
          <w:szCs w:val="24"/>
        </w:rPr>
        <w:t>Detalle cómo formularía el I</w:t>
      </w:r>
      <w:r w:rsidR="0087203F" w:rsidRPr="0087203F">
        <w:rPr>
          <w:rFonts w:cstheme="minorHAnsi"/>
          <w:sz w:val="24"/>
          <w:szCs w:val="24"/>
        </w:rPr>
        <w:t>nforme anual de gestión financiera y de desempeño de la Auditoría Superior, precisando los documentos en los que se basaría para su formulación.</w:t>
      </w:r>
    </w:p>
    <w:p w14:paraId="3A693E95" w14:textId="77777777" w:rsidR="0087203F" w:rsidRDefault="0087203F" w:rsidP="0087203F">
      <w:pPr>
        <w:pStyle w:val="ListParagraph"/>
        <w:autoSpaceDE w:val="0"/>
        <w:autoSpaceDN w:val="0"/>
        <w:adjustRightInd w:val="0"/>
        <w:spacing w:line="276" w:lineRule="auto"/>
        <w:rPr>
          <w:rFonts w:cstheme="minorHAnsi"/>
          <w:sz w:val="24"/>
          <w:szCs w:val="24"/>
        </w:rPr>
      </w:pPr>
    </w:p>
    <w:p w14:paraId="7292A25B" w14:textId="77777777" w:rsidR="0087203F" w:rsidRDefault="0087203F" w:rsidP="0087203F">
      <w:pPr>
        <w:pStyle w:val="ListParagraph"/>
        <w:numPr>
          <w:ilvl w:val="0"/>
          <w:numId w:val="9"/>
        </w:numPr>
        <w:autoSpaceDE w:val="0"/>
        <w:autoSpaceDN w:val="0"/>
        <w:adjustRightInd w:val="0"/>
        <w:spacing w:line="276" w:lineRule="auto"/>
        <w:rPr>
          <w:rFonts w:cstheme="minorHAnsi"/>
          <w:sz w:val="24"/>
          <w:szCs w:val="24"/>
        </w:rPr>
      </w:pPr>
      <w:r>
        <w:rPr>
          <w:rFonts w:cstheme="minorHAnsi"/>
          <w:sz w:val="24"/>
          <w:szCs w:val="24"/>
        </w:rPr>
        <w:t>En cuanto al procedimiento de responsabilidad administrativa.</w:t>
      </w:r>
    </w:p>
    <w:p w14:paraId="7E6B8127" w14:textId="77777777" w:rsidR="0087203F" w:rsidRPr="0087203F" w:rsidRDefault="0087203F" w:rsidP="0087203F">
      <w:pPr>
        <w:pStyle w:val="ListParagraph"/>
        <w:autoSpaceDE w:val="0"/>
        <w:autoSpaceDN w:val="0"/>
        <w:adjustRightInd w:val="0"/>
        <w:spacing w:line="276" w:lineRule="auto"/>
        <w:rPr>
          <w:rFonts w:cstheme="minorHAnsi"/>
          <w:sz w:val="24"/>
          <w:szCs w:val="24"/>
        </w:rPr>
      </w:pPr>
      <w:r>
        <w:rPr>
          <w:rFonts w:cstheme="minorHAnsi"/>
          <w:sz w:val="24"/>
          <w:szCs w:val="24"/>
        </w:rPr>
        <w:t xml:space="preserve">3.1 </w:t>
      </w:r>
      <w:r w:rsidR="007E0345">
        <w:rPr>
          <w:rFonts w:cstheme="minorHAnsi"/>
          <w:sz w:val="24"/>
          <w:szCs w:val="24"/>
        </w:rPr>
        <w:t>¿</w:t>
      </w:r>
      <w:r w:rsidRPr="0087203F">
        <w:rPr>
          <w:rFonts w:cstheme="minorHAnsi"/>
          <w:sz w:val="24"/>
          <w:szCs w:val="24"/>
        </w:rPr>
        <w:t xml:space="preserve">Qué </w:t>
      </w:r>
      <w:r>
        <w:rPr>
          <w:rFonts w:cstheme="minorHAnsi"/>
          <w:sz w:val="24"/>
          <w:szCs w:val="24"/>
        </w:rPr>
        <w:t xml:space="preserve">tipo de </w:t>
      </w:r>
      <w:r w:rsidRPr="0087203F">
        <w:rPr>
          <w:rFonts w:cstheme="minorHAnsi"/>
          <w:sz w:val="24"/>
          <w:szCs w:val="24"/>
        </w:rPr>
        <w:t>falta cometió el auditor de obra públi</w:t>
      </w:r>
      <w:r>
        <w:rPr>
          <w:rFonts w:cstheme="minorHAnsi"/>
          <w:sz w:val="24"/>
          <w:szCs w:val="24"/>
        </w:rPr>
        <w:t>ca y qué cursos de acción implementaría</w:t>
      </w:r>
      <w:r w:rsidRPr="0087203F">
        <w:rPr>
          <w:rFonts w:cstheme="minorHAnsi"/>
          <w:sz w:val="24"/>
          <w:szCs w:val="24"/>
        </w:rPr>
        <w:t>?</w:t>
      </w:r>
    </w:p>
    <w:sectPr w:rsidR="0087203F" w:rsidRPr="0087203F" w:rsidSect="00C13553">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D7BBD" w14:textId="77777777" w:rsidR="001A5F75" w:rsidRDefault="001A5F75" w:rsidP="006E000F">
      <w:r>
        <w:separator/>
      </w:r>
    </w:p>
  </w:endnote>
  <w:endnote w:type="continuationSeparator" w:id="0">
    <w:p w14:paraId="464C4DB6" w14:textId="77777777" w:rsidR="001A5F75" w:rsidRDefault="001A5F75" w:rsidP="006E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69793781"/>
      <w:docPartObj>
        <w:docPartGallery w:val="Page Numbers (Bottom of Page)"/>
        <w:docPartUnique/>
      </w:docPartObj>
    </w:sdtPr>
    <w:sdtEndPr>
      <w:rPr>
        <w:color w:val="808080" w:themeColor="background1" w:themeShade="80"/>
        <w:spacing w:val="60"/>
      </w:rPr>
    </w:sdtEndPr>
    <w:sdtContent>
      <w:p w14:paraId="3B34195E" w14:textId="77777777" w:rsidR="00E56D38" w:rsidRDefault="00E56D38">
        <w:pPr>
          <w:pStyle w:val="Footer"/>
          <w:pBdr>
            <w:top w:val="single" w:sz="4" w:space="1" w:color="D9D9D9" w:themeColor="background1" w:themeShade="D9"/>
          </w:pBdr>
          <w:jc w:val="right"/>
          <w:rPr>
            <w:sz w:val="20"/>
            <w:szCs w:val="20"/>
          </w:rPr>
        </w:pPr>
      </w:p>
      <w:p w14:paraId="58BDF8A0" w14:textId="77777777" w:rsidR="00B10BF0" w:rsidRPr="00627219" w:rsidRDefault="00B10BF0" w:rsidP="00E56D38">
        <w:pPr>
          <w:pStyle w:val="Footer"/>
          <w:pBdr>
            <w:top w:val="single" w:sz="4" w:space="1" w:color="D9D9D9" w:themeColor="background1" w:themeShade="D9"/>
          </w:pBdr>
          <w:tabs>
            <w:tab w:val="clear" w:pos="4419"/>
          </w:tabs>
          <w:jc w:val="right"/>
          <w:rPr>
            <w:sz w:val="20"/>
            <w:szCs w:val="20"/>
          </w:rPr>
        </w:pPr>
        <w:r w:rsidRPr="00627219">
          <w:rPr>
            <w:sz w:val="20"/>
            <w:szCs w:val="20"/>
          </w:rPr>
          <w:fldChar w:fldCharType="begin"/>
        </w:r>
        <w:r w:rsidRPr="00627219">
          <w:rPr>
            <w:sz w:val="20"/>
            <w:szCs w:val="20"/>
          </w:rPr>
          <w:instrText>PAGE   \* MERGEFORMAT</w:instrText>
        </w:r>
        <w:r w:rsidRPr="00627219">
          <w:rPr>
            <w:sz w:val="20"/>
            <w:szCs w:val="20"/>
          </w:rPr>
          <w:fldChar w:fldCharType="separate"/>
        </w:r>
        <w:r w:rsidR="003B5BEF">
          <w:rPr>
            <w:noProof/>
            <w:sz w:val="20"/>
            <w:szCs w:val="20"/>
          </w:rPr>
          <w:t>1</w:t>
        </w:r>
        <w:r w:rsidRPr="00627219">
          <w:rPr>
            <w:sz w:val="20"/>
            <w:szCs w:val="20"/>
          </w:rPr>
          <w:fldChar w:fldCharType="end"/>
        </w:r>
        <w:r w:rsidRPr="00627219">
          <w:rPr>
            <w:sz w:val="20"/>
            <w:szCs w:val="20"/>
          </w:rPr>
          <w:t xml:space="preserve"> | </w:t>
        </w:r>
        <w:r w:rsidRPr="00627219">
          <w:rPr>
            <w:color w:val="808080" w:themeColor="background1" w:themeShade="80"/>
            <w:spacing w:val="60"/>
            <w:sz w:val="20"/>
            <w:szCs w:val="20"/>
          </w:rPr>
          <w:t>Página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3F54" w14:textId="77777777" w:rsidR="001A5F75" w:rsidRDefault="001A5F75" w:rsidP="006E000F">
      <w:r>
        <w:separator/>
      </w:r>
    </w:p>
  </w:footnote>
  <w:footnote w:type="continuationSeparator" w:id="0">
    <w:p w14:paraId="1C10586D" w14:textId="77777777" w:rsidR="001A5F75" w:rsidRDefault="001A5F75" w:rsidP="006E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7231" w14:textId="77777777" w:rsidR="00E56D38" w:rsidRDefault="00C13553" w:rsidP="00E56D38">
    <w:pPr>
      <w:spacing w:line="276" w:lineRule="auto"/>
      <w:ind w:left="6663"/>
      <w:jc w:val="center"/>
      <w:rPr>
        <w:rFonts w:cstheme="minorHAnsi"/>
        <w:color w:val="C00000"/>
        <w:lang w:val="es-MX"/>
      </w:rPr>
    </w:pPr>
    <w:r w:rsidRPr="00ED7C56">
      <w:rPr>
        <w:noProof/>
        <w:lang w:val="es-MX" w:eastAsia="es-MX"/>
      </w:rPr>
      <w:drawing>
        <wp:anchor distT="0" distB="0" distL="114300" distR="114300" simplePos="0" relativeHeight="251659264" behindDoc="0" locked="0" layoutInCell="1" allowOverlap="1" wp14:anchorId="5E204B15" wp14:editId="17ED5C5E">
          <wp:simplePos x="0" y="0"/>
          <wp:positionH relativeFrom="margin">
            <wp:align>left</wp:align>
          </wp:positionH>
          <wp:positionV relativeFrom="paragraph">
            <wp:posOffset>-240665</wp:posOffset>
          </wp:positionV>
          <wp:extent cx="1074420" cy="1074420"/>
          <wp:effectExtent l="0" t="0" r="0" b="0"/>
          <wp:wrapSquare wrapText="bothSides"/>
          <wp:docPr id="6" name="Imagen 6" descr="C:\Users\jibarra\Downloads\WhatsApp Image 2018-09-25 at 10.07.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barra\Downloads\WhatsApp Image 2018-09-25 at 10.07.2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D38">
      <w:rPr>
        <w:rFonts w:cstheme="minorHAnsi"/>
        <w:color w:val="C00000"/>
        <w:lang w:val="es-MX"/>
      </w:rPr>
      <w:t xml:space="preserve">Titular de la Unidad de Vigilancia del </w:t>
    </w:r>
  </w:p>
  <w:p w14:paraId="07BF8F35" w14:textId="77777777" w:rsidR="005057EE" w:rsidRPr="007131F2" w:rsidRDefault="00E56D38" w:rsidP="00E56D38">
    <w:pPr>
      <w:spacing w:line="276" w:lineRule="auto"/>
      <w:ind w:left="4678"/>
      <w:jc w:val="right"/>
      <w:rPr>
        <w:rFonts w:cstheme="minorHAnsi"/>
        <w:color w:val="C00000"/>
        <w:lang w:val="es-MX"/>
      </w:rPr>
    </w:pPr>
    <w:r>
      <w:rPr>
        <w:rFonts w:cstheme="minorHAnsi"/>
        <w:color w:val="C00000"/>
        <w:lang w:val="es-MX"/>
      </w:rPr>
      <w:t>Congreso del Estado de Jalisco</w:t>
    </w:r>
  </w:p>
  <w:p w14:paraId="5AE589B7" w14:textId="77777777" w:rsidR="008F3384" w:rsidRPr="007131F2" w:rsidRDefault="00975184" w:rsidP="005057EE">
    <w:pPr>
      <w:spacing w:line="276" w:lineRule="auto"/>
      <w:ind w:left="7371"/>
      <w:jc w:val="right"/>
      <w:rPr>
        <w:rFonts w:cstheme="minorHAnsi"/>
        <w:color w:val="C00000"/>
        <w:lang w:val="es-MX"/>
      </w:rPr>
    </w:pPr>
    <w:r>
      <w:rPr>
        <w:rFonts w:cstheme="minorHAnsi"/>
        <w:color w:val="C00000"/>
        <w:lang w:val="es-MX"/>
      </w:rPr>
      <w:t>7</w:t>
    </w:r>
    <w:r w:rsidR="005057EE" w:rsidRPr="007131F2">
      <w:rPr>
        <w:rFonts w:cstheme="minorHAnsi"/>
        <w:color w:val="C00000"/>
        <w:lang w:val="es-MX"/>
      </w:rPr>
      <w:t xml:space="preserve"> de </w:t>
    </w:r>
    <w:r>
      <w:rPr>
        <w:rFonts w:cstheme="minorHAnsi"/>
        <w:color w:val="C00000"/>
        <w:lang w:val="es-MX"/>
      </w:rPr>
      <w:t>agosto</w:t>
    </w:r>
    <w:r w:rsidR="005057EE" w:rsidRPr="007131F2">
      <w:rPr>
        <w:rFonts w:cstheme="minorHAnsi"/>
        <w:color w:val="C00000"/>
        <w:lang w:val="es-MX"/>
      </w:rPr>
      <w:t xml:space="preserve"> de 20</w:t>
    </w:r>
    <w:r w:rsidR="007131F2">
      <w:rPr>
        <w:rFonts w:cstheme="minorHAnsi"/>
        <w:color w:val="C00000"/>
        <w:lang w:val="es-MX"/>
      </w:rPr>
      <w:t>20</w:t>
    </w:r>
    <w:r w:rsidR="008F3384" w:rsidRPr="007131F2">
      <w:rPr>
        <w:rFonts w:cstheme="minorHAnsi"/>
        <w:color w:val="C00000"/>
        <w:lang w:val="es-MX"/>
      </w:rPr>
      <w:t xml:space="preserve"> </w:t>
    </w:r>
  </w:p>
  <w:p w14:paraId="32E12ACA" w14:textId="77777777" w:rsidR="00274A56" w:rsidRDefault="00274A56" w:rsidP="008F3384">
    <w:pPr>
      <w:pStyle w:val="Header"/>
      <w:jc w:val="left"/>
    </w:pPr>
  </w:p>
  <w:p w14:paraId="03336426" w14:textId="77777777" w:rsidR="00B10BF0" w:rsidRDefault="00B10BF0" w:rsidP="006E0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E29DB"/>
    <w:multiLevelType w:val="hybridMultilevel"/>
    <w:tmpl w:val="8CAC2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284560"/>
    <w:multiLevelType w:val="hybridMultilevel"/>
    <w:tmpl w:val="C27EDB46"/>
    <w:lvl w:ilvl="0" w:tplc="34BEBAA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570B8C"/>
    <w:multiLevelType w:val="hybridMultilevel"/>
    <w:tmpl w:val="D674A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6B7494"/>
    <w:multiLevelType w:val="hybridMultilevel"/>
    <w:tmpl w:val="31A61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442E99"/>
    <w:multiLevelType w:val="multilevel"/>
    <w:tmpl w:val="1EA60B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D5F0605"/>
    <w:multiLevelType w:val="hybridMultilevel"/>
    <w:tmpl w:val="360856E4"/>
    <w:lvl w:ilvl="0" w:tplc="505AEBA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B52CC7"/>
    <w:multiLevelType w:val="hybridMultilevel"/>
    <w:tmpl w:val="272659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B045A1"/>
    <w:multiLevelType w:val="hybridMultilevel"/>
    <w:tmpl w:val="CC80C1CA"/>
    <w:lvl w:ilvl="0" w:tplc="505AEBA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2B573A"/>
    <w:multiLevelType w:val="hybridMultilevel"/>
    <w:tmpl w:val="8AC65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3"/>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3"/>
    <w:rsid w:val="000040DB"/>
    <w:rsid w:val="00010043"/>
    <w:rsid w:val="00017E05"/>
    <w:rsid w:val="00026316"/>
    <w:rsid w:val="00062794"/>
    <w:rsid w:val="000650F5"/>
    <w:rsid w:val="00071B05"/>
    <w:rsid w:val="00084973"/>
    <w:rsid w:val="00084DFE"/>
    <w:rsid w:val="00094A73"/>
    <w:rsid w:val="000A5CC6"/>
    <w:rsid w:val="000B5854"/>
    <w:rsid w:val="000C14E2"/>
    <w:rsid w:val="000C1E87"/>
    <w:rsid w:val="000D1951"/>
    <w:rsid w:val="000D7B0F"/>
    <w:rsid w:val="00112D7A"/>
    <w:rsid w:val="00123DA4"/>
    <w:rsid w:val="001359A6"/>
    <w:rsid w:val="001620E8"/>
    <w:rsid w:val="0016580F"/>
    <w:rsid w:val="00167896"/>
    <w:rsid w:val="00170FCC"/>
    <w:rsid w:val="001721C9"/>
    <w:rsid w:val="001A02A8"/>
    <w:rsid w:val="001A5F75"/>
    <w:rsid w:val="001A68C5"/>
    <w:rsid w:val="001B21DC"/>
    <w:rsid w:val="001C1DF3"/>
    <w:rsid w:val="001C7444"/>
    <w:rsid w:val="001D6008"/>
    <w:rsid w:val="001F053F"/>
    <w:rsid w:val="001F2956"/>
    <w:rsid w:val="002021C3"/>
    <w:rsid w:val="00210BC8"/>
    <w:rsid w:val="0021627F"/>
    <w:rsid w:val="00225F63"/>
    <w:rsid w:val="002265B4"/>
    <w:rsid w:val="00246825"/>
    <w:rsid w:val="00253E7A"/>
    <w:rsid w:val="00274A56"/>
    <w:rsid w:val="00282388"/>
    <w:rsid w:val="00290CED"/>
    <w:rsid w:val="002B405A"/>
    <w:rsid w:val="002B7B44"/>
    <w:rsid w:val="002D136B"/>
    <w:rsid w:val="002D7098"/>
    <w:rsid w:val="002D773F"/>
    <w:rsid w:val="002E4481"/>
    <w:rsid w:val="002E670D"/>
    <w:rsid w:val="002F0764"/>
    <w:rsid w:val="002F219C"/>
    <w:rsid w:val="002F4759"/>
    <w:rsid w:val="0032243A"/>
    <w:rsid w:val="00322491"/>
    <w:rsid w:val="00331CC6"/>
    <w:rsid w:val="0033320C"/>
    <w:rsid w:val="003344EA"/>
    <w:rsid w:val="00351C0D"/>
    <w:rsid w:val="0035250C"/>
    <w:rsid w:val="003A1D58"/>
    <w:rsid w:val="003B024C"/>
    <w:rsid w:val="003B25C9"/>
    <w:rsid w:val="003B5BEF"/>
    <w:rsid w:val="003C2F67"/>
    <w:rsid w:val="003D2E86"/>
    <w:rsid w:val="003D468F"/>
    <w:rsid w:val="003D597C"/>
    <w:rsid w:val="003E0310"/>
    <w:rsid w:val="00412596"/>
    <w:rsid w:val="004206BB"/>
    <w:rsid w:val="0042178E"/>
    <w:rsid w:val="00450C7F"/>
    <w:rsid w:val="00454683"/>
    <w:rsid w:val="0048340D"/>
    <w:rsid w:val="00492480"/>
    <w:rsid w:val="00496CA6"/>
    <w:rsid w:val="004B1388"/>
    <w:rsid w:val="004B228B"/>
    <w:rsid w:val="004B26C7"/>
    <w:rsid w:val="004B7DC5"/>
    <w:rsid w:val="004C4C8F"/>
    <w:rsid w:val="004D76D6"/>
    <w:rsid w:val="004F05C7"/>
    <w:rsid w:val="00503C46"/>
    <w:rsid w:val="005057EE"/>
    <w:rsid w:val="00507B48"/>
    <w:rsid w:val="0051464D"/>
    <w:rsid w:val="00514CA3"/>
    <w:rsid w:val="00523B62"/>
    <w:rsid w:val="005342B1"/>
    <w:rsid w:val="00542AA5"/>
    <w:rsid w:val="0054341C"/>
    <w:rsid w:val="005679A9"/>
    <w:rsid w:val="00592878"/>
    <w:rsid w:val="0059511E"/>
    <w:rsid w:val="005B022F"/>
    <w:rsid w:val="005D3515"/>
    <w:rsid w:val="005D603F"/>
    <w:rsid w:val="005D75F6"/>
    <w:rsid w:val="005F12D6"/>
    <w:rsid w:val="005F1DEF"/>
    <w:rsid w:val="005F762D"/>
    <w:rsid w:val="00600C4A"/>
    <w:rsid w:val="0060185A"/>
    <w:rsid w:val="00604132"/>
    <w:rsid w:val="0061067F"/>
    <w:rsid w:val="00611744"/>
    <w:rsid w:val="00612B62"/>
    <w:rsid w:val="00627219"/>
    <w:rsid w:val="00635A15"/>
    <w:rsid w:val="00637AA9"/>
    <w:rsid w:val="00637D2E"/>
    <w:rsid w:val="00645961"/>
    <w:rsid w:val="006806C7"/>
    <w:rsid w:val="00692FE6"/>
    <w:rsid w:val="006A46B0"/>
    <w:rsid w:val="006B00BD"/>
    <w:rsid w:val="006B4F68"/>
    <w:rsid w:val="006B7E7F"/>
    <w:rsid w:val="006E000F"/>
    <w:rsid w:val="006E6C1B"/>
    <w:rsid w:val="006F2298"/>
    <w:rsid w:val="006F2770"/>
    <w:rsid w:val="00703369"/>
    <w:rsid w:val="00705697"/>
    <w:rsid w:val="007131F2"/>
    <w:rsid w:val="00715997"/>
    <w:rsid w:val="007272A6"/>
    <w:rsid w:val="0073324F"/>
    <w:rsid w:val="00736D06"/>
    <w:rsid w:val="007570A7"/>
    <w:rsid w:val="00757D8D"/>
    <w:rsid w:val="007610BD"/>
    <w:rsid w:val="007750E6"/>
    <w:rsid w:val="0078199F"/>
    <w:rsid w:val="007827D4"/>
    <w:rsid w:val="007906F8"/>
    <w:rsid w:val="00794A8B"/>
    <w:rsid w:val="007A0354"/>
    <w:rsid w:val="007A6F70"/>
    <w:rsid w:val="007B3776"/>
    <w:rsid w:val="007C78A6"/>
    <w:rsid w:val="007C7DEB"/>
    <w:rsid w:val="007D1E94"/>
    <w:rsid w:val="007D1F9F"/>
    <w:rsid w:val="007E0345"/>
    <w:rsid w:val="007E3EC3"/>
    <w:rsid w:val="007F53E8"/>
    <w:rsid w:val="0080651E"/>
    <w:rsid w:val="00807C83"/>
    <w:rsid w:val="00812302"/>
    <w:rsid w:val="00820DD2"/>
    <w:rsid w:val="008455CB"/>
    <w:rsid w:val="008562AA"/>
    <w:rsid w:val="0087203F"/>
    <w:rsid w:val="008875CA"/>
    <w:rsid w:val="0089514B"/>
    <w:rsid w:val="00895E4D"/>
    <w:rsid w:val="008A505F"/>
    <w:rsid w:val="008B0301"/>
    <w:rsid w:val="008B48CA"/>
    <w:rsid w:val="008C0A11"/>
    <w:rsid w:val="008C2158"/>
    <w:rsid w:val="008E253C"/>
    <w:rsid w:val="008E5C56"/>
    <w:rsid w:val="008E7C16"/>
    <w:rsid w:val="008F3384"/>
    <w:rsid w:val="008F59A5"/>
    <w:rsid w:val="00910EB3"/>
    <w:rsid w:val="009315C4"/>
    <w:rsid w:val="0093422F"/>
    <w:rsid w:val="009526E6"/>
    <w:rsid w:val="009572D2"/>
    <w:rsid w:val="009603A8"/>
    <w:rsid w:val="00961999"/>
    <w:rsid w:val="00962EB9"/>
    <w:rsid w:val="00967118"/>
    <w:rsid w:val="0097373B"/>
    <w:rsid w:val="00975184"/>
    <w:rsid w:val="00982C1A"/>
    <w:rsid w:val="009B4176"/>
    <w:rsid w:val="009D3F73"/>
    <w:rsid w:val="009E1E25"/>
    <w:rsid w:val="00A202CC"/>
    <w:rsid w:val="00A21986"/>
    <w:rsid w:val="00A3690F"/>
    <w:rsid w:val="00A4098C"/>
    <w:rsid w:val="00A41B51"/>
    <w:rsid w:val="00A43658"/>
    <w:rsid w:val="00A43E7C"/>
    <w:rsid w:val="00A44DA7"/>
    <w:rsid w:val="00A51BC5"/>
    <w:rsid w:val="00A53B62"/>
    <w:rsid w:val="00A56285"/>
    <w:rsid w:val="00A616A5"/>
    <w:rsid w:val="00A651C8"/>
    <w:rsid w:val="00A86E7A"/>
    <w:rsid w:val="00A92984"/>
    <w:rsid w:val="00AA0930"/>
    <w:rsid w:val="00AB3077"/>
    <w:rsid w:val="00AC422A"/>
    <w:rsid w:val="00AE07A7"/>
    <w:rsid w:val="00AE41B3"/>
    <w:rsid w:val="00AE46B5"/>
    <w:rsid w:val="00AE68AC"/>
    <w:rsid w:val="00AF52D4"/>
    <w:rsid w:val="00B0072A"/>
    <w:rsid w:val="00B018B9"/>
    <w:rsid w:val="00B10BF0"/>
    <w:rsid w:val="00B122F0"/>
    <w:rsid w:val="00B25C3A"/>
    <w:rsid w:val="00B377CC"/>
    <w:rsid w:val="00B37F23"/>
    <w:rsid w:val="00B41F0F"/>
    <w:rsid w:val="00B462D7"/>
    <w:rsid w:val="00B47050"/>
    <w:rsid w:val="00B84D34"/>
    <w:rsid w:val="00B851B2"/>
    <w:rsid w:val="00B8621E"/>
    <w:rsid w:val="00B978C7"/>
    <w:rsid w:val="00BB23CC"/>
    <w:rsid w:val="00BC0827"/>
    <w:rsid w:val="00BC2C8D"/>
    <w:rsid w:val="00BC478B"/>
    <w:rsid w:val="00BD25FC"/>
    <w:rsid w:val="00BF521A"/>
    <w:rsid w:val="00C018AA"/>
    <w:rsid w:val="00C01CD6"/>
    <w:rsid w:val="00C13553"/>
    <w:rsid w:val="00C13FB2"/>
    <w:rsid w:val="00C33611"/>
    <w:rsid w:val="00C414DC"/>
    <w:rsid w:val="00C42D45"/>
    <w:rsid w:val="00C62C58"/>
    <w:rsid w:val="00C765D2"/>
    <w:rsid w:val="00CB620A"/>
    <w:rsid w:val="00CC1A81"/>
    <w:rsid w:val="00CC2F8A"/>
    <w:rsid w:val="00CC3E4E"/>
    <w:rsid w:val="00CD0D3C"/>
    <w:rsid w:val="00CF2BF5"/>
    <w:rsid w:val="00D05C4D"/>
    <w:rsid w:val="00D06423"/>
    <w:rsid w:val="00D10859"/>
    <w:rsid w:val="00D203A2"/>
    <w:rsid w:val="00D22D3E"/>
    <w:rsid w:val="00D256F2"/>
    <w:rsid w:val="00D761A6"/>
    <w:rsid w:val="00D91AC9"/>
    <w:rsid w:val="00D9302C"/>
    <w:rsid w:val="00D96945"/>
    <w:rsid w:val="00DA0E81"/>
    <w:rsid w:val="00DA6888"/>
    <w:rsid w:val="00DB6166"/>
    <w:rsid w:val="00DD2867"/>
    <w:rsid w:val="00DE34EB"/>
    <w:rsid w:val="00DF41BB"/>
    <w:rsid w:val="00DF76B8"/>
    <w:rsid w:val="00E12901"/>
    <w:rsid w:val="00E35174"/>
    <w:rsid w:val="00E36928"/>
    <w:rsid w:val="00E5397F"/>
    <w:rsid w:val="00E56D38"/>
    <w:rsid w:val="00E61486"/>
    <w:rsid w:val="00E71A44"/>
    <w:rsid w:val="00EA3998"/>
    <w:rsid w:val="00EC3105"/>
    <w:rsid w:val="00EC68AC"/>
    <w:rsid w:val="00ED2AFC"/>
    <w:rsid w:val="00EE5318"/>
    <w:rsid w:val="00F327DA"/>
    <w:rsid w:val="00F529BE"/>
    <w:rsid w:val="00F62CF3"/>
    <w:rsid w:val="00F9770F"/>
    <w:rsid w:val="00FB2C3F"/>
    <w:rsid w:val="00FD69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03B78"/>
  <w15:docId w15:val="{7D8ABE2D-A014-4FB5-8B45-105A6FD4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4D"/>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1DC"/>
    <w:rPr>
      <w:rFonts w:ascii="Tahoma" w:hAnsi="Tahoma" w:cs="Tahoma"/>
      <w:sz w:val="16"/>
      <w:szCs w:val="16"/>
    </w:rPr>
  </w:style>
  <w:style w:type="character" w:customStyle="1" w:styleId="BalloonTextChar">
    <w:name w:val="Balloon Text Char"/>
    <w:basedOn w:val="DefaultParagraphFont"/>
    <w:link w:val="BalloonText"/>
    <w:uiPriority w:val="99"/>
    <w:semiHidden/>
    <w:rsid w:val="001B21DC"/>
    <w:rPr>
      <w:rFonts w:ascii="Tahoma" w:hAnsi="Tahoma" w:cs="Tahoma"/>
      <w:sz w:val="16"/>
      <w:szCs w:val="16"/>
      <w:lang w:val="es-ES"/>
    </w:rPr>
  </w:style>
  <w:style w:type="paragraph" w:styleId="ListParagraph">
    <w:name w:val="List Paragraph"/>
    <w:basedOn w:val="Normal"/>
    <w:uiPriority w:val="34"/>
    <w:qFormat/>
    <w:rsid w:val="001B21DC"/>
    <w:pPr>
      <w:ind w:left="720"/>
      <w:contextualSpacing/>
    </w:pPr>
  </w:style>
  <w:style w:type="paragraph" w:styleId="Header">
    <w:name w:val="header"/>
    <w:basedOn w:val="Normal"/>
    <w:link w:val="HeaderChar"/>
    <w:uiPriority w:val="99"/>
    <w:unhideWhenUsed/>
    <w:rsid w:val="006E000F"/>
    <w:pPr>
      <w:tabs>
        <w:tab w:val="center" w:pos="4419"/>
        <w:tab w:val="right" w:pos="8838"/>
      </w:tabs>
    </w:pPr>
  </w:style>
  <w:style w:type="character" w:customStyle="1" w:styleId="HeaderChar">
    <w:name w:val="Header Char"/>
    <w:basedOn w:val="DefaultParagraphFont"/>
    <w:link w:val="Header"/>
    <w:uiPriority w:val="99"/>
    <w:rsid w:val="006E000F"/>
    <w:rPr>
      <w:lang w:val="es-ES"/>
    </w:rPr>
  </w:style>
  <w:style w:type="paragraph" w:styleId="Footer">
    <w:name w:val="footer"/>
    <w:basedOn w:val="Normal"/>
    <w:link w:val="FooterChar"/>
    <w:uiPriority w:val="99"/>
    <w:unhideWhenUsed/>
    <w:rsid w:val="006E000F"/>
    <w:pPr>
      <w:tabs>
        <w:tab w:val="center" w:pos="4419"/>
        <w:tab w:val="right" w:pos="8838"/>
      </w:tabs>
    </w:pPr>
  </w:style>
  <w:style w:type="character" w:customStyle="1" w:styleId="FooterChar">
    <w:name w:val="Footer Char"/>
    <w:basedOn w:val="DefaultParagraphFont"/>
    <w:link w:val="Footer"/>
    <w:uiPriority w:val="99"/>
    <w:rsid w:val="006E000F"/>
    <w:rPr>
      <w:lang w:val="es-ES"/>
    </w:rPr>
  </w:style>
  <w:style w:type="character" w:customStyle="1" w:styleId="apple-converted-space">
    <w:name w:val="apple-converted-space"/>
    <w:basedOn w:val="DefaultParagraphFont"/>
    <w:rsid w:val="000D7B0F"/>
  </w:style>
  <w:style w:type="character" w:customStyle="1" w:styleId="firma">
    <w:name w:val="firma"/>
    <w:basedOn w:val="DefaultParagraphFont"/>
    <w:rsid w:val="000D7B0F"/>
  </w:style>
  <w:style w:type="character" w:styleId="Hyperlink">
    <w:name w:val="Hyperlink"/>
    <w:basedOn w:val="DefaultParagraphFont"/>
    <w:uiPriority w:val="99"/>
    <w:unhideWhenUsed/>
    <w:rsid w:val="008B0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jalis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o@cpsjalis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2DD5A-5EB4-43BC-81FA-8DF59B53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Ibarra</dc:creator>
  <cp:keywords/>
  <dc:description/>
  <cp:lastModifiedBy>Annel V�zquez</cp:lastModifiedBy>
  <cp:revision>2</cp:revision>
  <cp:lastPrinted>2017-08-22T17:03:00Z</cp:lastPrinted>
  <dcterms:created xsi:type="dcterms:W3CDTF">2020-08-07T14:51:00Z</dcterms:created>
  <dcterms:modified xsi:type="dcterms:W3CDTF">2020-08-07T14:51:00Z</dcterms:modified>
</cp:coreProperties>
</file>