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A9" w:rsidRPr="00EE4C75" w:rsidRDefault="006D0BA9" w:rsidP="00734681">
      <w:pPr>
        <w:jc w:val="center"/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</w:p>
    <w:p w:rsidR="006D0BA9" w:rsidRPr="00EE4C75" w:rsidRDefault="006D0BA9" w:rsidP="00734681">
      <w:pPr>
        <w:jc w:val="center"/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  <w:r w:rsidRPr="00EE4C75"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  <w:t>Acta de Sesión Extrao</w:t>
      </w:r>
      <w:r w:rsidRPr="00EE4C75"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  <w:t>rdinaria</w:t>
      </w:r>
    </w:p>
    <w:p w:rsidR="006D0BA9" w:rsidRPr="00EE4C75" w:rsidRDefault="006D0BA9" w:rsidP="00734681">
      <w:pPr>
        <w:jc w:val="center"/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  <w:r w:rsidRPr="00EE4C75"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  <w:t>Comité de Participación Social del Sistema Anticorrupción del Estado de Jalisco</w:t>
      </w:r>
    </w:p>
    <w:p w:rsidR="006D0BA9" w:rsidRPr="00EE4C75" w:rsidRDefault="006D0BA9" w:rsidP="00734681">
      <w:pPr>
        <w:jc w:val="center"/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  <w:r w:rsidRPr="00EE4C75"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  <w:t>5 de diciembre</w:t>
      </w:r>
      <w:r w:rsidRPr="00EE4C75"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  <w:t xml:space="preserve"> de 2022</w:t>
      </w:r>
    </w:p>
    <w:p w:rsidR="006D0BA9" w:rsidRPr="00EE4C75" w:rsidRDefault="006D0BA9" w:rsidP="00734681">
      <w:pPr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>En la S</w:t>
      </w:r>
      <w:r w:rsidRPr="00EE4C75">
        <w:rPr>
          <w:rFonts w:asciiTheme="minorHAnsi" w:hAnsiTheme="minorHAnsi" w:cstheme="minorHAnsi"/>
          <w:sz w:val="21"/>
          <w:szCs w:val="21"/>
          <w:lang w:val="es-MX"/>
        </w:rPr>
        <w:t xml:space="preserve">ala de Juntas de la Secretaría Ejecutiva del Sistema Estatal Anticorrupción del Estado de Jalisco, ubicada en Avenida de los Arcos 767 (setecientos sesenta y siete), en </w:t>
      </w:r>
      <w:r w:rsidRPr="00EE4C75">
        <w:rPr>
          <w:rFonts w:asciiTheme="minorHAnsi" w:hAnsiTheme="minorHAnsi" w:cstheme="minorHAnsi"/>
          <w:sz w:val="21"/>
          <w:szCs w:val="21"/>
        </w:rPr>
        <w:t xml:space="preserve">Guadalajara, Jalisco, siendo las </w:t>
      </w:r>
      <w:r w:rsidR="00734681">
        <w:rPr>
          <w:rFonts w:asciiTheme="minorHAnsi" w:hAnsiTheme="minorHAnsi" w:cstheme="minorHAnsi"/>
          <w:sz w:val="21"/>
          <w:szCs w:val="21"/>
        </w:rPr>
        <w:t xml:space="preserve">10:47 diez horas con cuarenta y siete </w:t>
      </w:r>
      <w:r w:rsidRPr="00EE4C75">
        <w:rPr>
          <w:rFonts w:asciiTheme="minorHAnsi" w:hAnsiTheme="minorHAnsi" w:cstheme="minorHAnsi"/>
          <w:sz w:val="21"/>
          <w:szCs w:val="21"/>
        </w:rPr>
        <w:t xml:space="preserve">minutos del </w:t>
      </w:r>
      <w:r w:rsidRPr="00EE4C75">
        <w:rPr>
          <w:rFonts w:asciiTheme="minorHAnsi" w:hAnsiTheme="minorHAnsi" w:cstheme="minorHAnsi"/>
          <w:b/>
          <w:sz w:val="21"/>
          <w:szCs w:val="21"/>
        </w:rPr>
        <w:t xml:space="preserve">lunes 5 (cinco) de diciembre </w:t>
      </w:r>
      <w:r w:rsidRPr="00EE4C75">
        <w:rPr>
          <w:rFonts w:asciiTheme="minorHAnsi" w:hAnsiTheme="minorHAnsi" w:cstheme="minorHAnsi"/>
          <w:b/>
          <w:sz w:val="21"/>
          <w:szCs w:val="21"/>
        </w:rPr>
        <w:t>de 2022 dos mil veintidós</w:t>
      </w:r>
      <w:r w:rsidRPr="00EE4C75">
        <w:rPr>
          <w:rFonts w:asciiTheme="minorHAnsi" w:hAnsiTheme="minorHAnsi" w:cstheme="minorHAnsi"/>
          <w:sz w:val="21"/>
          <w:szCs w:val="21"/>
        </w:rPr>
        <w:t xml:space="preserve">, se celebró la </w:t>
      </w:r>
      <w:r w:rsidRPr="00EE4C75">
        <w:rPr>
          <w:rFonts w:asciiTheme="minorHAnsi" w:hAnsiTheme="minorHAnsi" w:cstheme="minorHAnsi"/>
          <w:b/>
          <w:sz w:val="21"/>
          <w:szCs w:val="21"/>
        </w:rPr>
        <w:t>Primera Sesión Extrao</w:t>
      </w:r>
      <w:r w:rsidRPr="00EE4C75">
        <w:rPr>
          <w:rFonts w:asciiTheme="minorHAnsi" w:hAnsiTheme="minorHAnsi" w:cstheme="minorHAnsi"/>
          <w:b/>
          <w:sz w:val="21"/>
          <w:szCs w:val="21"/>
        </w:rPr>
        <w:t>rdinaria</w:t>
      </w:r>
      <w:r w:rsidRPr="00EE4C75">
        <w:rPr>
          <w:rFonts w:asciiTheme="minorHAnsi" w:hAnsiTheme="minorHAnsi" w:cstheme="minorHAnsi"/>
          <w:sz w:val="21"/>
          <w:szCs w:val="21"/>
        </w:rPr>
        <w:t xml:space="preserve"> del Comité de Participació</w:t>
      </w:r>
      <w:r w:rsidRPr="00EE4C75">
        <w:rPr>
          <w:rFonts w:asciiTheme="minorHAnsi" w:eastAsia="Calibri" w:hAnsiTheme="minorHAnsi" w:cstheme="minorHAnsi"/>
          <w:sz w:val="21"/>
          <w:szCs w:val="21"/>
        </w:rPr>
        <w:t>n Social (CPS) del Sistema Estatal Anticorrupción del Estado de Jalisco correspondiente a la gestió</w:t>
      </w:r>
      <w:r w:rsidRPr="00EE4C75">
        <w:rPr>
          <w:rFonts w:asciiTheme="minorHAnsi" w:hAnsiTheme="minorHAnsi" w:cstheme="minorHAnsi"/>
          <w:sz w:val="21"/>
          <w:szCs w:val="21"/>
        </w:rPr>
        <w:t xml:space="preserve">n 2022-2023, convocada por </w:t>
      </w:r>
      <w:r w:rsidRPr="00EE4C75">
        <w:rPr>
          <w:rFonts w:asciiTheme="minorHAnsi" w:hAnsiTheme="minorHAnsi" w:cstheme="minorHAnsi"/>
          <w:sz w:val="21"/>
          <w:szCs w:val="21"/>
        </w:rPr>
        <w:t>la doctora Nancy García Vázquez</w:t>
      </w:r>
      <w:r w:rsidRPr="00EE4C75">
        <w:rPr>
          <w:rFonts w:asciiTheme="minorHAnsi" w:hAnsiTheme="minorHAnsi" w:cstheme="minorHAnsi"/>
          <w:sz w:val="21"/>
          <w:szCs w:val="21"/>
        </w:rPr>
        <w:t xml:space="preserve">, en su carácter de </w:t>
      </w:r>
      <w:r w:rsidRPr="00EE4C75">
        <w:rPr>
          <w:rFonts w:asciiTheme="minorHAnsi" w:hAnsiTheme="minorHAnsi" w:cstheme="minorHAnsi"/>
          <w:b/>
          <w:sz w:val="21"/>
          <w:szCs w:val="21"/>
        </w:rPr>
        <w:t>Presidenta</w:t>
      </w:r>
      <w:r w:rsidRPr="00EE4C75">
        <w:rPr>
          <w:rFonts w:asciiTheme="minorHAnsi" w:hAnsiTheme="minorHAnsi" w:cstheme="minorHAnsi"/>
          <w:sz w:val="21"/>
          <w:szCs w:val="21"/>
        </w:rPr>
        <w:t xml:space="preserve"> del Comité.</w:t>
      </w: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b/>
          <w:smallCaps/>
          <w:sz w:val="21"/>
          <w:szCs w:val="21"/>
        </w:rPr>
      </w:pPr>
      <w:r w:rsidRPr="00EE4C75">
        <w:rPr>
          <w:rFonts w:asciiTheme="minorHAnsi" w:hAnsiTheme="minorHAnsi" w:cstheme="minorHAnsi"/>
          <w:b/>
          <w:smallCaps/>
          <w:sz w:val="21"/>
          <w:szCs w:val="21"/>
        </w:rPr>
        <w:t>I. Lista de asistencia</w:t>
      </w: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b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>En primer término, la Dra. Nancy García Vázquez, integrante del CPS solicitó a la Mtra. Diana Vera Álvarez, Secretaria de Acuerdos, pasara la lista de asistencia entre las y los integrantes del Comité, para dar fe de la presencia de las y los ciudadanos</w:t>
      </w:r>
      <w:r w:rsidRPr="00EE4C75">
        <w:rPr>
          <w:rFonts w:asciiTheme="minorHAnsi" w:hAnsiTheme="minorHAnsi" w:cstheme="minorHAnsi"/>
          <w:b/>
          <w:sz w:val="21"/>
          <w:szCs w:val="21"/>
        </w:rPr>
        <w:t xml:space="preserve"> Nancy García Vázquez, David Gómez-Álvarez, Pedro Vicente Viveros Reyes, Neyra Josefa Godoy Rodríguez y Miguel Ángel Hernández Velázquez.</w:t>
      </w:r>
      <w:r w:rsidRPr="00EE4C75">
        <w:rPr>
          <w:rFonts w:asciiTheme="minorHAnsi" w:hAnsiTheme="minorHAnsi" w:cstheme="minorHAnsi"/>
          <w:color w:val="4D5156"/>
          <w:sz w:val="21"/>
          <w:szCs w:val="21"/>
          <w:shd w:val="clear" w:color="auto" w:fill="FFFFFF"/>
        </w:rPr>
        <w:t> </w:t>
      </w: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1"/>
        <w:spacing w:line="276" w:lineRule="auto"/>
        <w:ind w:right="-284" w:firstLine="0"/>
        <w:rPr>
          <w:rFonts w:asciiTheme="minorHAnsi" w:hAnsiTheme="minorHAnsi" w:cstheme="minorHAnsi"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 xml:space="preserve">La Secretaria de Acuerdos dio cuenta de lo anterior al Pleno e informó de la presencia de las y los </w:t>
      </w:r>
      <w:r w:rsidRPr="00EE4C75">
        <w:rPr>
          <w:rFonts w:asciiTheme="minorHAnsi" w:hAnsiTheme="minorHAnsi" w:cstheme="minorHAnsi"/>
          <w:b/>
          <w:sz w:val="21"/>
          <w:szCs w:val="21"/>
        </w:rPr>
        <w:t>5 cinco integrantes del Comité con nombramiento vigente</w:t>
      </w:r>
      <w:r w:rsidRPr="00EE4C75">
        <w:rPr>
          <w:rFonts w:asciiTheme="minorHAnsi" w:hAnsiTheme="minorHAnsi" w:cstheme="minorHAnsi"/>
          <w:sz w:val="21"/>
          <w:szCs w:val="21"/>
        </w:rPr>
        <w:t>; en virtud de lo anterior el</w:t>
      </w:r>
      <w:r w:rsidRPr="00EE4C75">
        <w:rPr>
          <w:rFonts w:asciiTheme="minorHAnsi" w:hAnsiTheme="minorHAnsi" w:cstheme="minorHAnsi"/>
          <w:b/>
          <w:sz w:val="21"/>
          <w:szCs w:val="21"/>
        </w:rPr>
        <w:t xml:space="preserve"> Presidente</w:t>
      </w:r>
      <w:r w:rsidRPr="00EE4C75">
        <w:rPr>
          <w:rFonts w:asciiTheme="minorHAnsi" w:hAnsiTheme="minorHAnsi" w:cstheme="minorHAnsi"/>
          <w:sz w:val="21"/>
          <w:szCs w:val="21"/>
        </w:rPr>
        <w:t xml:space="preserve"> del Comité declaró la existencia de quórum legal para su desarrollo en términos del artículo 4, párrafo segundo del Reglamento Interno del CPS y abierta la </w:t>
      </w:r>
      <w:r w:rsidRPr="00EE4C75">
        <w:rPr>
          <w:rFonts w:asciiTheme="minorHAnsi" w:hAnsiTheme="minorHAnsi" w:cstheme="minorHAnsi"/>
          <w:b/>
          <w:smallCaps/>
          <w:sz w:val="21"/>
          <w:szCs w:val="21"/>
        </w:rPr>
        <w:t>Primera</w:t>
      </w:r>
      <w:r w:rsidRPr="00EE4C75">
        <w:rPr>
          <w:rFonts w:asciiTheme="minorHAnsi" w:hAnsiTheme="minorHAnsi" w:cstheme="minorHAnsi"/>
          <w:b/>
          <w:smallCaps/>
          <w:sz w:val="21"/>
          <w:szCs w:val="21"/>
        </w:rPr>
        <w:t xml:space="preserve"> Sesión Extrao</w:t>
      </w:r>
      <w:r w:rsidRPr="00EE4C75">
        <w:rPr>
          <w:rFonts w:asciiTheme="minorHAnsi" w:hAnsiTheme="minorHAnsi" w:cstheme="minorHAnsi"/>
          <w:b/>
          <w:smallCaps/>
          <w:sz w:val="21"/>
          <w:szCs w:val="21"/>
        </w:rPr>
        <w:t>rdinaria</w:t>
      </w:r>
      <w:r w:rsidRPr="00EE4C75">
        <w:rPr>
          <w:rFonts w:asciiTheme="minorHAnsi" w:hAnsiTheme="minorHAnsi" w:cstheme="minorHAnsi"/>
          <w:sz w:val="21"/>
          <w:szCs w:val="21"/>
        </w:rPr>
        <w:t xml:space="preserve"> del mismo, por lo que a partir de tal principio serán legales y válidos los acuerdos que en esta se tomaron. Acto seguido se propuso el siguiente Orden del día:</w:t>
      </w:r>
    </w:p>
    <w:p w:rsidR="006D0BA9" w:rsidRPr="00EE4C75" w:rsidRDefault="006D0BA9" w:rsidP="00734681">
      <w:pPr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</w:p>
    <w:p w:rsidR="006D0BA9" w:rsidRPr="00EE4C75" w:rsidRDefault="006D0BA9" w:rsidP="00734681">
      <w:pPr>
        <w:pStyle w:val="1"/>
        <w:spacing w:line="276" w:lineRule="auto"/>
        <w:ind w:firstLine="0"/>
        <w:rPr>
          <w:rFonts w:asciiTheme="minorHAnsi" w:hAnsiTheme="minorHAnsi" w:cstheme="minorHAnsi"/>
          <w:b/>
          <w:smallCaps/>
          <w:sz w:val="21"/>
          <w:szCs w:val="21"/>
        </w:rPr>
      </w:pPr>
      <w:r w:rsidRPr="00EE4C75">
        <w:rPr>
          <w:rFonts w:asciiTheme="minorHAnsi" w:hAnsiTheme="minorHAnsi" w:cstheme="minorHAnsi"/>
          <w:b/>
          <w:smallCaps/>
          <w:sz w:val="21"/>
          <w:szCs w:val="21"/>
        </w:rPr>
        <w:t>II. Orden del día</w:t>
      </w:r>
    </w:p>
    <w:p w:rsidR="006D0BA9" w:rsidRPr="00EE4C75" w:rsidRDefault="006D0BA9" w:rsidP="00734681">
      <w:pPr>
        <w:rPr>
          <w:rFonts w:asciiTheme="minorHAnsi" w:hAnsiTheme="minorHAnsi" w:cstheme="minorHAnsi"/>
          <w:b/>
          <w:bCs/>
          <w:smallCaps/>
          <w:color w:val="000000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5"/>
      </w:tblGrid>
      <w:tr w:rsidR="006D0BA9" w:rsidRPr="00EE4C75" w:rsidTr="00734681">
        <w:tc>
          <w:tcPr>
            <w:tcW w:w="846" w:type="dxa"/>
          </w:tcPr>
          <w:p w:rsidR="006D0BA9" w:rsidRPr="00EE4C75" w:rsidRDefault="006D0BA9" w:rsidP="00734681">
            <w:pPr>
              <w:jc w:val="center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  <w:t>I.</w:t>
            </w:r>
          </w:p>
        </w:tc>
        <w:tc>
          <w:tcPr>
            <w:tcW w:w="8505" w:type="dxa"/>
          </w:tcPr>
          <w:p w:rsidR="006D0BA9" w:rsidRPr="00EE4C75" w:rsidRDefault="006D0BA9" w:rsidP="00734681">
            <w:pPr>
              <w:ind w:right="-234"/>
              <w:jc w:val="both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Lista de asistencia, declaración de quórum y apertura de sesión.</w:t>
            </w:r>
          </w:p>
        </w:tc>
      </w:tr>
      <w:tr w:rsidR="006D0BA9" w:rsidRPr="00EE4C75" w:rsidTr="00734681">
        <w:tc>
          <w:tcPr>
            <w:tcW w:w="846" w:type="dxa"/>
          </w:tcPr>
          <w:p w:rsidR="006D0BA9" w:rsidRPr="00EE4C75" w:rsidRDefault="006D0BA9" w:rsidP="00734681">
            <w:pPr>
              <w:pStyle w:val="Ttulo6"/>
              <w:spacing w:line="276" w:lineRule="auto"/>
              <w:jc w:val="center"/>
              <w:rPr>
                <w:rFonts w:asciiTheme="minorHAnsi" w:hAnsiTheme="minorHAnsi" w:cstheme="minorHAnsi"/>
                <w:smallCaps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mallCaps/>
                <w:sz w:val="21"/>
                <w:szCs w:val="21"/>
              </w:rPr>
              <w:t>II.</w:t>
            </w:r>
          </w:p>
        </w:tc>
        <w:tc>
          <w:tcPr>
            <w:tcW w:w="8505" w:type="dxa"/>
          </w:tcPr>
          <w:p w:rsidR="006D0BA9" w:rsidRPr="00EE4C75" w:rsidRDefault="006D0BA9" w:rsidP="00734681">
            <w:pPr>
              <w:ind w:right="-234"/>
              <w:jc w:val="both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 xml:space="preserve">Aprobación del orden del día. </w:t>
            </w:r>
          </w:p>
        </w:tc>
      </w:tr>
      <w:tr w:rsidR="006D0BA9" w:rsidRPr="00EE4C75" w:rsidTr="00734681">
        <w:tc>
          <w:tcPr>
            <w:tcW w:w="846" w:type="dxa"/>
          </w:tcPr>
          <w:p w:rsidR="006D0BA9" w:rsidRPr="00EE4C75" w:rsidRDefault="006D0BA9" w:rsidP="00734681">
            <w:pPr>
              <w:pStyle w:val="Ttulo6"/>
              <w:spacing w:line="276" w:lineRule="auto"/>
              <w:jc w:val="center"/>
              <w:rPr>
                <w:rFonts w:asciiTheme="minorHAnsi" w:hAnsiTheme="minorHAnsi" w:cstheme="minorHAnsi"/>
                <w:smallCaps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mallCaps/>
                <w:sz w:val="21"/>
                <w:szCs w:val="21"/>
              </w:rPr>
              <w:t xml:space="preserve"> III.</w:t>
            </w:r>
          </w:p>
        </w:tc>
        <w:tc>
          <w:tcPr>
            <w:tcW w:w="8505" w:type="dxa"/>
          </w:tcPr>
          <w:p w:rsidR="006D0BA9" w:rsidRPr="00EE4C75" w:rsidRDefault="006D0BA9" w:rsidP="00734681">
            <w:pPr>
              <w:ind w:right="-234"/>
              <w:jc w:val="both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 xml:space="preserve">Presentación y, en su caso, aprobación de la convocatoria y de los criterios para la elaboración de la Opinión Técnica </w:t>
            </w:r>
            <w:r w:rsidRPr="00EE4C75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para integrar la terna de personas aspirantes a ocupar el cargo de titular de la Secretaría Técnica de la Secretaría Ejecutiva del Sistema Anticorrupción de Jalisco.</w:t>
            </w:r>
          </w:p>
        </w:tc>
      </w:tr>
      <w:tr w:rsidR="006D0BA9" w:rsidRPr="00EE4C75" w:rsidTr="00734681">
        <w:trPr>
          <w:trHeight w:val="136"/>
        </w:trPr>
        <w:tc>
          <w:tcPr>
            <w:tcW w:w="846" w:type="dxa"/>
          </w:tcPr>
          <w:p w:rsidR="006D0BA9" w:rsidRPr="00EE4C75" w:rsidRDefault="006D0BA9" w:rsidP="00734681">
            <w:pPr>
              <w:pStyle w:val="Ttulo6"/>
              <w:spacing w:line="276" w:lineRule="auto"/>
              <w:jc w:val="center"/>
              <w:rPr>
                <w:rFonts w:asciiTheme="minorHAnsi" w:hAnsiTheme="minorHAnsi" w:cstheme="minorHAnsi"/>
                <w:smallCaps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mallCaps/>
                <w:sz w:val="21"/>
                <w:szCs w:val="21"/>
              </w:rPr>
              <w:t>IV.</w:t>
            </w:r>
          </w:p>
        </w:tc>
        <w:tc>
          <w:tcPr>
            <w:tcW w:w="8505" w:type="dxa"/>
          </w:tcPr>
          <w:p w:rsidR="006D0BA9" w:rsidRPr="00EE4C75" w:rsidRDefault="006D0BA9" w:rsidP="00734681">
            <w:pPr>
              <w:ind w:right="60"/>
              <w:jc w:val="both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Acuerdos.</w:t>
            </w:r>
          </w:p>
        </w:tc>
      </w:tr>
      <w:tr w:rsidR="006D0BA9" w:rsidRPr="00EE4C75" w:rsidTr="00734681">
        <w:tc>
          <w:tcPr>
            <w:tcW w:w="846" w:type="dxa"/>
          </w:tcPr>
          <w:p w:rsidR="006D0BA9" w:rsidRPr="00EE4C75" w:rsidRDefault="006D0BA9" w:rsidP="00734681">
            <w:pPr>
              <w:pStyle w:val="Ttulo6"/>
              <w:spacing w:line="276" w:lineRule="auto"/>
              <w:jc w:val="center"/>
              <w:rPr>
                <w:rFonts w:asciiTheme="minorHAnsi" w:hAnsiTheme="minorHAnsi" w:cstheme="minorHAnsi"/>
                <w:smallCaps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mallCaps/>
                <w:sz w:val="21"/>
                <w:szCs w:val="21"/>
              </w:rPr>
              <w:t>V.</w:t>
            </w:r>
          </w:p>
        </w:tc>
        <w:tc>
          <w:tcPr>
            <w:tcW w:w="8505" w:type="dxa"/>
          </w:tcPr>
          <w:p w:rsidR="006D0BA9" w:rsidRPr="00EE4C75" w:rsidRDefault="006D0BA9" w:rsidP="00734681">
            <w:pPr>
              <w:ind w:right="60"/>
              <w:jc w:val="both"/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es-ES_tradnl"/>
              </w:rPr>
              <w:t>Clausura de la sesión.</w:t>
            </w:r>
          </w:p>
        </w:tc>
      </w:tr>
    </w:tbl>
    <w:p w:rsidR="006D0BA9" w:rsidRPr="00EE4C75" w:rsidRDefault="006D0BA9" w:rsidP="00734681">
      <w:pPr>
        <w:ind w:right="-234"/>
        <w:jc w:val="both"/>
        <w:rPr>
          <w:rFonts w:asciiTheme="minorHAnsi" w:eastAsia="Times" w:hAnsiTheme="minorHAnsi" w:cstheme="minorHAnsi"/>
          <w:sz w:val="21"/>
          <w:szCs w:val="21"/>
          <w:lang w:val="es-ES_tradnl" w:eastAsia="es-ES"/>
        </w:rPr>
      </w:pPr>
    </w:p>
    <w:p w:rsidR="006D0BA9" w:rsidRPr="00EE4C75" w:rsidRDefault="006D0BA9" w:rsidP="00734681">
      <w:pPr>
        <w:ind w:right="-284"/>
        <w:jc w:val="both"/>
        <w:rPr>
          <w:rFonts w:asciiTheme="minorHAnsi" w:eastAsia="Times" w:hAnsiTheme="minorHAnsi" w:cstheme="minorHAnsi"/>
          <w:sz w:val="21"/>
          <w:szCs w:val="21"/>
          <w:lang w:val="es-ES_tradnl" w:eastAsia="es-ES"/>
        </w:rPr>
      </w:pPr>
      <w:r w:rsidRPr="00EE4C75">
        <w:rPr>
          <w:rFonts w:asciiTheme="minorHAnsi" w:eastAsia="Times" w:hAnsiTheme="minorHAnsi" w:cstheme="minorHAnsi"/>
          <w:sz w:val="21"/>
          <w:szCs w:val="21"/>
          <w:lang w:val="es-ES_tradnl" w:eastAsia="es-ES"/>
        </w:rPr>
        <w:t xml:space="preserve">En uso de la voz, la Dra. Nancy García Vázquez, puso a consideración de las y los integrantes el orden del día, mismo que fue </w:t>
      </w:r>
      <w:r w:rsidRPr="00EE4C75">
        <w:rPr>
          <w:rFonts w:asciiTheme="minorHAnsi" w:eastAsia="Times" w:hAnsiTheme="minorHAnsi" w:cstheme="minorHAnsi"/>
          <w:b/>
          <w:smallCaps/>
          <w:sz w:val="21"/>
          <w:szCs w:val="21"/>
          <w:lang w:val="es-ES_tradnl" w:eastAsia="es-ES"/>
        </w:rPr>
        <w:t xml:space="preserve">aprobado por unanimidad en votación económica, </w:t>
      </w:r>
      <w:r w:rsidRPr="00EE4C75">
        <w:rPr>
          <w:rFonts w:asciiTheme="minorHAnsi" w:eastAsia="Times" w:hAnsiTheme="minorHAnsi" w:cstheme="minorHAnsi"/>
          <w:sz w:val="21"/>
          <w:szCs w:val="21"/>
          <w:lang w:val="es-ES_tradnl" w:eastAsia="es-ES"/>
        </w:rPr>
        <w:t>quedando firmes los siguientes:</w:t>
      </w:r>
    </w:p>
    <w:p w:rsidR="006D0BA9" w:rsidRPr="00EE4C75" w:rsidRDefault="006D0BA9" w:rsidP="00734681">
      <w:pPr>
        <w:ind w:right="-284"/>
        <w:jc w:val="both"/>
        <w:rPr>
          <w:rFonts w:asciiTheme="minorHAnsi" w:eastAsia="Times" w:hAnsiTheme="minorHAnsi" w:cstheme="minorHAnsi"/>
          <w:sz w:val="21"/>
          <w:szCs w:val="21"/>
          <w:lang w:val="es-ES_tradnl" w:eastAsia="es-ES"/>
        </w:rPr>
      </w:pPr>
    </w:p>
    <w:p w:rsidR="006D0BA9" w:rsidRPr="00EE4C75" w:rsidRDefault="006D0BA9" w:rsidP="00734681">
      <w:pPr>
        <w:pStyle w:val="titulo"/>
        <w:spacing w:line="276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>Asuntos y Acuerdos:</w:t>
      </w:r>
    </w:p>
    <w:p w:rsidR="006D0BA9" w:rsidRPr="00EE4C75" w:rsidRDefault="006D0BA9" w:rsidP="00734681">
      <w:pPr>
        <w:pStyle w:val="titulo"/>
        <w:spacing w:line="276" w:lineRule="auto"/>
        <w:outlineLvl w:val="0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1"/>
        <w:numPr>
          <w:ilvl w:val="0"/>
          <w:numId w:val="2"/>
        </w:numPr>
        <w:tabs>
          <w:tab w:val="clear" w:pos="1260"/>
          <w:tab w:val="left" w:pos="284"/>
        </w:tabs>
        <w:spacing w:line="276" w:lineRule="auto"/>
        <w:ind w:left="142" w:right="-284" w:hanging="142"/>
        <w:rPr>
          <w:rFonts w:asciiTheme="minorHAnsi" w:hAnsiTheme="minorHAnsi" w:cstheme="minorHAnsi"/>
          <w:b/>
          <w:smallCaps/>
          <w:sz w:val="21"/>
          <w:szCs w:val="21"/>
        </w:rPr>
      </w:pPr>
      <w:r w:rsidRPr="00EE4C75">
        <w:rPr>
          <w:rFonts w:asciiTheme="minorHAnsi" w:hAnsiTheme="minorHAnsi" w:cstheme="minorHAnsi"/>
          <w:b/>
          <w:smallCaps/>
          <w:sz w:val="21"/>
          <w:szCs w:val="21"/>
        </w:rPr>
        <w:lastRenderedPageBreak/>
        <w:t>Presentación y, en su caso, aprobación de la convocatoria y de los criterios para la elaboración de la Opinión Técnica para integrar la terna de personas aspirantes a ocupar el cargo de titular de la Secretaría Técnica de la Secretaría Ejecutiva del Sistema Anticorrupción de Jalisco.</w:t>
      </w:r>
    </w:p>
    <w:p w:rsidR="006D0BA9" w:rsidRPr="00EE4C75" w:rsidRDefault="006D0BA9" w:rsidP="00734681">
      <w:pPr>
        <w:pStyle w:val="1"/>
        <w:tabs>
          <w:tab w:val="clear" w:pos="1260"/>
          <w:tab w:val="left" w:pos="284"/>
        </w:tabs>
        <w:spacing w:line="276" w:lineRule="auto"/>
        <w:ind w:right="-284"/>
        <w:rPr>
          <w:rFonts w:asciiTheme="minorHAnsi" w:hAnsiTheme="minorHAnsi" w:cstheme="minorHAnsi"/>
          <w:b/>
          <w:smallCaps/>
          <w:sz w:val="21"/>
          <w:szCs w:val="21"/>
        </w:rPr>
      </w:pPr>
    </w:p>
    <w:p w:rsidR="006D0BA9" w:rsidRPr="00EE4C75" w:rsidRDefault="00EE4C75" w:rsidP="00734681">
      <w:pPr>
        <w:pStyle w:val="Normal1"/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  <w:r>
        <w:rPr>
          <w:rFonts w:asciiTheme="minorHAnsi" w:hAnsiTheme="minorHAnsi" w:cstheme="minorHAnsi"/>
          <w:sz w:val="21"/>
          <w:szCs w:val="21"/>
          <w:lang w:val="es-ES_tradnl"/>
        </w:rPr>
        <w:t>En uso de la voz</w:t>
      </w:r>
      <w:r w:rsidR="008154B2">
        <w:rPr>
          <w:rFonts w:asciiTheme="minorHAnsi" w:hAnsiTheme="minorHAnsi" w:cstheme="minorHAnsi"/>
          <w:sz w:val="21"/>
          <w:szCs w:val="21"/>
          <w:lang w:val="es-ES_tradnl"/>
        </w:rPr>
        <w:t>, la Dra. Nancy García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informo que como se mencionó en la sesión celebrada el 29 de noviembr</w:t>
      </w:r>
      <w:r w:rsidR="00925075">
        <w:rPr>
          <w:rFonts w:asciiTheme="minorHAnsi" w:hAnsiTheme="minorHAnsi" w:cstheme="minorHAnsi"/>
          <w:sz w:val="21"/>
          <w:szCs w:val="21"/>
          <w:lang w:val="es-ES_tradnl"/>
        </w:rPr>
        <w:t xml:space="preserve">e de 2022 y que se publicó 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en redes sociales </w:t>
      </w:r>
      <w:r w:rsidR="00925075">
        <w:rPr>
          <w:rFonts w:asciiTheme="minorHAnsi" w:hAnsiTheme="minorHAnsi" w:cstheme="minorHAnsi"/>
          <w:sz w:val="21"/>
          <w:szCs w:val="21"/>
          <w:lang w:val="es-ES_tradnl"/>
        </w:rPr>
        <w:t xml:space="preserve">del CPS, se presenta tanto 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la convocatoria </w:t>
      </w:r>
      <w:r w:rsidR="00925075">
        <w:rPr>
          <w:rFonts w:asciiTheme="minorHAnsi" w:hAnsiTheme="minorHAnsi" w:cstheme="minorHAnsi"/>
          <w:sz w:val="21"/>
          <w:szCs w:val="21"/>
          <w:lang w:val="es-ES_tradnl"/>
        </w:rPr>
        <w:t xml:space="preserve">como 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>los criterios para la elaboración de la Opinión Técnica para integrar la terna de personas aspirantes a ocupar el cargo de titular de la Secretaría Técnica de la Secretaría Ejecutiva del Si</w:t>
      </w:r>
      <w:r w:rsidR="00925075">
        <w:rPr>
          <w:rFonts w:asciiTheme="minorHAnsi" w:hAnsiTheme="minorHAnsi" w:cstheme="minorHAnsi"/>
          <w:sz w:val="21"/>
          <w:szCs w:val="21"/>
          <w:lang w:val="es-ES_tradnl"/>
        </w:rPr>
        <w:t>stema Anticorrupción de Jalisco</w:t>
      </w:r>
      <w:r w:rsidR="0099696A">
        <w:rPr>
          <w:rFonts w:asciiTheme="minorHAnsi" w:hAnsiTheme="minorHAnsi" w:cstheme="minorHAnsi"/>
          <w:sz w:val="21"/>
          <w:szCs w:val="21"/>
          <w:lang w:val="es-ES_tradnl"/>
        </w:rPr>
        <w:t xml:space="preserve"> (SESAJ)</w:t>
      </w:r>
      <w:r w:rsidR="00925075">
        <w:rPr>
          <w:rFonts w:asciiTheme="minorHAnsi" w:hAnsiTheme="minorHAnsi" w:cstheme="minorHAnsi"/>
          <w:sz w:val="21"/>
          <w:szCs w:val="21"/>
          <w:lang w:val="es-ES_tradnl"/>
        </w:rPr>
        <w:t>, documentos que se estuvieron trabajando en estos días por quienes integramos al CPS.</w:t>
      </w:r>
    </w:p>
    <w:p w:rsidR="006D0BA9" w:rsidRPr="00EE4C75" w:rsidRDefault="006D0BA9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6D0BA9" w:rsidRPr="00EE4C75" w:rsidRDefault="00925075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  <w:r>
        <w:rPr>
          <w:rFonts w:asciiTheme="minorHAnsi" w:hAnsiTheme="minorHAnsi" w:cstheme="minorHAnsi"/>
          <w:sz w:val="21"/>
          <w:szCs w:val="21"/>
          <w:lang w:val="es-ES_tradnl"/>
        </w:rPr>
        <w:t>Siguiendo con su intervención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>,</w:t>
      </w:r>
      <w:r>
        <w:rPr>
          <w:rFonts w:asciiTheme="minorHAnsi" w:hAnsiTheme="minorHAnsi" w:cstheme="minorHAnsi"/>
          <w:sz w:val="21"/>
          <w:szCs w:val="21"/>
          <w:lang w:val="es-ES_tradnl"/>
        </w:rPr>
        <w:t xml:space="preserve"> la Dra. García Vázquez refirió que la emisión de dichos documentos obedece a 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>que el periodo de</w:t>
      </w:r>
      <w:r>
        <w:rPr>
          <w:rFonts w:asciiTheme="minorHAnsi" w:hAnsiTheme="minorHAnsi" w:cstheme="minorHAnsi"/>
          <w:sz w:val="21"/>
          <w:szCs w:val="21"/>
          <w:lang w:val="es-ES_tradnl"/>
        </w:rPr>
        <w:t xml:space="preserve"> 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>l</w:t>
      </w:r>
      <w:r>
        <w:rPr>
          <w:rFonts w:asciiTheme="minorHAnsi" w:hAnsiTheme="minorHAnsi" w:cstheme="minorHAnsi"/>
          <w:sz w:val="21"/>
          <w:szCs w:val="21"/>
          <w:lang w:val="es-ES_tradnl"/>
        </w:rPr>
        <w:t>a actual Secretaría técnica de la S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>ESAJ está próximo a concluir el 31 de enero de 2023, por lo que es responsabilidad del CPS aprobar una nueva terna para presentarla al</w:t>
      </w:r>
      <w:r w:rsidR="0099696A">
        <w:rPr>
          <w:rFonts w:asciiTheme="minorHAnsi" w:hAnsiTheme="minorHAnsi" w:cstheme="minorHAnsi"/>
          <w:sz w:val="21"/>
          <w:szCs w:val="21"/>
          <w:lang w:val="es-ES_tradnl"/>
        </w:rPr>
        <w:t xml:space="preserve"> Órgano de Gobierno de la SESAJ atendiendo a lo estipulado en el artículo 33 numerales 1 y 2 de la</w:t>
      </w:r>
      <w:r w:rsidR="0099696A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Ley del Sistema Anticorrupción del Estado de Jalisco.</w:t>
      </w:r>
    </w:p>
    <w:p w:rsidR="006D0BA9" w:rsidRPr="00EE4C75" w:rsidRDefault="006D0BA9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6D0BA9" w:rsidRPr="00EE4C75" w:rsidRDefault="0099696A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  <w:r>
        <w:rPr>
          <w:rFonts w:asciiTheme="minorHAnsi" w:hAnsiTheme="minorHAnsi" w:cstheme="minorHAnsi"/>
          <w:sz w:val="21"/>
          <w:szCs w:val="21"/>
          <w:lang w:val="es-ES_tradnl"/>
        </w:rPr>
        <w:t>La Dra. Nancy García mencionó que l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as personas interesadas </w:t>
      </w:r>
      <w:r>
        <w:rPr>
          <w:rFonts w:asciiTheme="minorHAnsi" w:hAnsiTheme="minorHAnsi" w:cstheme="minorHAnsi"/>
          <w:sz w:val="21"/>
          <w:szCs w:val="21"/>
          <w:lang w:val="es-ES_tradnl"/>
        </w:rPr>
        <w:t>en participar en dicha convocatoria deben presentar las documentales que permitan cumplir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los requisitos de elegibilidad que establece el artículo 34 de la Ley del Sistema Anticorrupción del Estado de Jalisco. Además de presentar un plan de trabajo, realizar una entrevista y resolver un caso práctico,</w:t>
      </w:r>
      <w:r>
        <w:rPr>
          <w:rFonts w:asciiTheme="minorHAnsi" w:hAnsiTheme="minorHAnsi" w:cstheme="minorHAnsi"/>
          <w:sz w:val="21"/>
          <w:szCs w:val="21"/>
          <w:lang w:val="es-ES_tradnl"/>
        </w:rPr>
        <w:t xml:space="preserve"> que serán valorados de acuerdo a</w:t>
      </w:r>
      <w:r>
        <w:rPr>
          <w:rFonts w:asciiTheme="minorHAnsi" w:hAnsiTheme="minorHAnsi" w:cstheme="minorHAnsi"/>
          <w:sz w:val="21"/>
          <w:szCs w:val="21"/>
          <w:lang w:val="es-ES_tradnl"/>
        </w:rPr>
        <w:t xml:space="preserve"> lo establecido en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>los criterios para la elaboración de la Opinión Técnica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elementos que permitirán </w:t>
      </w:r>
      <w:r>
        <w:rPr>
          <w:rFonts w:asciiTheme="minorHAnsi" w:hAnsiTheme="minorHAnsi" w:cstheme="minorHAnsi"/>
          <w:sz w:val="21"/>
          <w:szCs w:val="21"/>
          <w:lang w:val="es-ES_tradnl"/>
        </w:rPr>
        <w:t xml:space="preserve">a quienes integran al CPS </w:t>
      </w:r>
      <w:r w:rsidR="006D0BA9" w:rsidRPr="00EE4C75">
        <w:rPr>
          <w:rFonts w:asciiTheme="minorHAnsi" w:hAnsiTheme="minorHAnsi" w:cstheme="minorHAnsi"/>
          <w:sz w:val="21"/>
          <w:szCs w:val="21"/>
          <w:lang w:val="es-ES_tradnl"/>
        </w:rPr>
        <w:t>valorar el mérito y la idoneidad, garantizando legalidad, objetividad, método, consistencia, transparencia y máxima publicidad, igualdad de oportunidades y equidad de género.</w:t>
      </w:r>
    </w:p>
    <w:p w:rsidR="006D0BA9" w:rsidRPr="00EE4C75" w:rsidRDefault="006D0BA9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6D0BA9" w:rsidRPr="00EE4C75" w:rsidRDefault="006D0BA9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  <w:r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Finalmente, </w:t>
      </w:r>
      <w:r w:rsidR="0099696A">
        <w:rPr>
          <w:rFonts w:asciiTheme="minorHAnsi" w:hAnsiTheme="minorHAnsi" w:cstheme="minorHAnsi"/>
          <w:sz w:val="21"/>
          <w:szCs w:val="21"/>
          <w:lang w:val="es-ES_tradnl"/>
        </w:rPr>
        <w:t>la Dra. García Vázquez comentó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que </w:t>
      </w:r>
      <w:r w:rsidR="0099696A">
        <w:rPr>
          <w:rFonts w:asciiTheme="minorHAnsi" w:hAnsiTheme="minorHAnsi" w:cstheme="minorHAnsi"/>
          <w:sz w:val="21"/>
          <w:szCs w:val="21"/>
          <w:lang w:val="es-ES_tradnl"/>
        </w:rPr>
        <w:t xml:space="preserve">los documentos que acaba de presentarle, así como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los que se generen con motivo del proceso </w:t>
      </w:r>
      <w:r w:rsidR="00394839">
        <w:rPr>
          <w:rFonts w:asciiTheme="minorHAnsi" w:hAnsiTheme="minorHAnsi" w:cstheme="minorHAnsi"/>
          <w:sz w:val="21"/>
          <w:szCs w:val="21"/>
          <w:lang w:val="es-ES_tradnl"/>
        </w:rPr>
        <w:t xml:space="preserve">de designación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>se publicará</w:t>
      </w:r>
      <w:r w:rsidR="00394839">
        <w:rPr>
          <w:rFonts w:asciiTheme="minorHAnsi" w:hAnsiTheme="minorHAnsi" w:cstheme="minorHAnsi"/>
          <w:sz w:val="21"/>
          <w:szCs w:val="21"/>
          <w:lang w:val="es-ES_tradnl"/>
        </w:rPr>
        <w:t>n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en la página web del CPS (</w:t>
      </w:r>
      <w:hyperlink r:id="rId7" w:history="1">
        <w:r w:rsidR="00EE4C75" w:rsidRPr="00EE4C75">
          <w:rPr>
            <w:rStyle w:val="Hipervnculo"/>
            <w:rFonts w:asciiTheme="minorHAnsi" w:hAnsiTheme="minorHAnsi" w:cstheme="minorHAnsi"/>
            <w:sz w:val="21"/>
            <w:szCs w:val="21"/>
          </w:rPr>
          <w:t>www.cps.seajal.org</w:t>
        </w:r>
      </w:hyperlink>
      <w:r w:rsidR="00EE4C75" w:rsidRPr="00EE4C75">
        <w:rPr>
          <w:rFonts w:asciiTheme="minorHAnsi" w:hAnsiTheme="minorHAnsi" w:cstheme="minorHAnsi"/>
          <w:sz w:val="21"/>
          <w:szCs w:val="21"/>
        </w:rPr>
        <w:t>)</w:t>
      </w:r>
      <w:r w:rsidR="00394839">
        <w:rPr>
          <w:rFonts w:asciiTheme="minorHAnsi" w:hAnsiTheme="minorHAnsi" w:cstheme="minorHAnsi"/>
          <w:sz w:val="21"/>
          <w:szCs w:val="21"/>
          <w:lang w:val="es-ES_tradnl"/>
        </w:rPr>
        <w:t xml:space="preserve">, en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>la</w:t>
      </w:r>
      <w:r w:rsidR="00394839">
        <w:rPr>
          <w:rFonts w:asciiTheme="minorHAnsi" w:hAnsiTheme="minorHAnsi" w:cstheme="minorHAnsi"/>
          <w:sz w:val="21"/>
          <w:szCs w:val="21"/>
          <w:lang w:val="es-ES_tradnl"/>
        </w:rPr>
        <w:t xml:space="preserve">s redes sociales de este Comité,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>y se remitirá a quienes conforman al Órgano de Gobierno de la SESAJ,  a las y los integrantes de la R</w:t>
      </w:r>
      <w:r w:rsidR="00EE4C75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ed de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>M</w:t>
      </w:r>
      <w:r w:rsidR="00EE4C75"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ujeres 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>A</w:t>
      </w:r>
      <w:r w:rsidR="00EE4C75" w:rsidRPr="00EE4C75">
        <w:rPr>
          <w:rFonts w:asciiTheme="minorHAnsi" w:hAnsiTheme="minorHAnsi" w:cstheme="minorHAnsi"/>
          <w:sz w:val="21"/>
          <w:szCs w:val="21"/>
          <w:lang w:val="es-ES_tradnl"/>
        </w:rPr>
        <w:t>nticorrupción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,  la </w:t>
      </w:r>
      <w:r w:rsidR="00EE4C75" w:rsidRPr="00EE4C75">
        <w:rPr>
          <w:rFonts w:asciiTheme="minorHAnsi" w:hAnsiTheme="minorHAnsi" w:cstheme="minorHAnsi"/>
          <w:bCs/>
          <w:sz w:val="21"/>
          <w:szCs w:val="21"/>
          <w:lang w:val="es-ES_tradnl"/>
        </w:rPr>
        <w:t>Red Anticorrupción de Participación Social (RAPS)</w:t>
      </w:r>
      <w:r w:rsidR="00EE4C75" w:rsidRPr="00EE4C75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</w:t>
      </w:r>
      <w:r w:rsidRPr="00EE4C75">
        <w:rPr>
          <w:rFonts w:asciiTheme="minorHAnsi" w:hAnsiTheme="minorHAnsi" w:cstheme="minorHAnsi"/>
          <w:sz w:val="21"/>
          <w:szCs w:val="21"/>
          <w:lang w:val="es-ES_tradnl"/>
        </w:rPr>
        <w:t xml:space="preserve"> y demás aliados estratégicos a fin de dar difusión.</w:t>
      </w:r>
    </w:p>
    <w:p w:rsidR="006D0BA9" w:rsidRPr="00EE4C75" w:rsidRDefault="006D0BA9" w:rsidP="00734681">
      <w:pPr>
        <w:ind w:right="-235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6D0BA9" w:rsidRDefault="00394839" w:rsidP="00734681">
      <w:pPr>
        <w:ind w:right="-235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sz w:val="21"/>
          <w:szCs w:val="21"/>
          <w:lang w:val="es-ES_tradnl"/>
        </w:rPr>
        <w:t xml:space="preserve">La Dra. García Vázquez </w:t>
      </w:r>
      <w:r w:rsidRPr="00E31FD7">
        <w:rPr>
          <w:rFonts w:asciiTheme="minorHAnsi" w:hAnsiTheme="minorHAnsi" w:cstheme="minorHAnsi"/>
          <w:lang w:val="es-ES"/>
        </w:rPr>
        <w:t xml:space="preserve">consultó si existe algún otro asunto que quieran dar cuenta </w:t>
      </w:r>
      <w:r w:rsidRPr="00E31FD7">
        <w:rPr>
          <w:rFonts w:asciiTheme="minorHAnsi" w:hAnsiTheme="minorHAnsi" w:cstheme="minorHAnsi"/>
          <w:lang w:val="es-ES_tradnl"/>
        </w:rPr>
        <w:t>sin que exista comentario alguno.</w:t>
      </w:r>
    </w:p>
    <w:p w:rsidR="00394839" w:rsidRDefault="00394839" w:rsidP="00734681">
      <w:pPr>
        <w:ind w:right="-235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:rsidR="006D0BA9" w:rsidRPr="00734681" w:rsidRDefault="00394839" w:rsidP="00734681">
      <w:pPr>
        <w:spacing w:line="240" w:lineRule="auto"/>
        <w:ind w:right="-284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  <w:r w:rsidRPr="00394839">
        <w:rPr>
          <w:rFonts w:asciiTheme="minorHAnsi" w:eastAsia="Calibri" w:hAnsiTheme="minorHAnsi" w:cstheme="minorHAnsi"/>
          <w:sz w:val="21"/>
          <w:szCs w:val="21"/>
        </w:rPr>
        <w:t xml:space="preserve">En uso de la voz, </w:t>
      </w:r>
      <w:r w:rsidRPr="00394839">
        <w:rPr>
          <w:rFonts w:asciiTheme="minorHAnsi" w:eastAsia="Calibri" w:hAnsiTheme="minorHAnsi" w:cstheme="minorHAnsi"/>
          <w:sz w:val="21"/>
          <w:szCs w:val="21"/>
        </w:rPr>
        <w:t xml:space="preserve">la Dra. García Vázquez </w:t>
      </w:r>
      <w:r w:rsidRPr="00394839">
        <w:rPr>
          <w:rFonts w:asciiTheme="minorHAnsi" w:eastAsia="Calibri" w:hAnsiTheme="minorHAnsi" w:cstheme="minorHAnsi"/>
          <w:sz w:val="21"/>
          <w:szCs w:val="21"/>
        </w:rPr>
        <w:t xml:space="preserve">puso a consideración </w:t>
      </w:r>
      <w:r w:rsidRPr="00394839">
        <w:rPr>
          <w:rFonts w:asciiTheme="minorHAnsi" w:eastAsia="Calibri" w:hAnsiTheme="minorHAnsi" w:cstheme="minorHAnsi"/>
          <w:sz w:val="21"/>
          <w:szCs w:val="21"/>
        </w:rPr>
        <w:t>los documentos que presentó</w:t>
      </w:r>
      <w:r>
        <w:rPr>
          <w:rFonts w:asciiTheme="minorHAnsi" w:eastAsia="Calibri" w:hAnsiTheme="minorHAnsi" w:cstheme="minorHAnsi"/>
          <w:sz w:val="21"/>
          <w:szCs w:val="21"/>
        </w:rPr>
        <w:t xml:space="preserve"> en este punto del orden del día</w:t>
      </w:r>
      <w:r w:rsidRPr="00394839">
        <w:rPr>
          <w:rFonts w:asciiTheme="minorHAnsi" w:eastAsia="Calibri" w:hAnsiTheme="minorHAnsi" w:cstheme="minorHAnsi"/>
          <w:sz w:val="21"/>
          <w:szCs w:val="21"/>
        </w:rPr>
        <w:t xml:space="preserve">. </w:t>
      </w:r>
      <w:r w:rsidR="006D0BA9" w:rsidRPr="00394839">
        <w:rPr>
          <w:rFonts w:asciiTheme="minorHAnsi" w:hAnsiTheme="minorHAnsi" w:cstheme="minorHAnsi"/>
          <w:sz w:val="21"/>
          <w:szCs w:val="21"/>
          <w:lang w:val="es-ES"/>
        </w:rPr>
        <w:t xml:space="preserve">Por lo que, </w:t>
      </w:r>
      <w:r w:rsidR="006D0BA9" w:rsidRPr="00394839">
        <w:rPr>
          <w:rFonts w:asciiTheme="minorHAnsi" w:hAnsiTheme="minorHAnsi" w:cstheme="minorHAnsi"/>
          <w:b/>
          <w:smallCaps/>
          <w:sz w:val="21"/>
          <w:szCs w:val="21"/>
          <w:lang w:val="es-ES"/>
        </w:rPr>
        <w:t xml:space="preserve">con los votos de las y los Consejeros </w:t>
      </w:r>
      <w:r w:rsidR="006D0BA9" w:rsidRPr="00394839">
        <w:rPr>
          <w:rFonts w:asciiTheme="minorHAnsi" w:hAnsiTheme="minorHAnsi" w:cstheme="minorHAnsi"/>
          <w:b/>
          <w:smallCaps/>
          <w:sz w:val="21"/>
          <w:szCs w:val="21"/>
        </w:rPr>
        <w:t>Nancy García Vázquez, Pedro Vicente Viveros Reyes, Neyra Josefa Godoy Rodríguez y Miguel Ángel Hernández Velázquez, en votación nominal se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"/>
        </w:rPr>
        <w:t xml:space="preserve"> aprobaron</w:t>
      </w:r>
      <w:r w:rsidR="006D0BA9" w:rsidRPr="00394839">
        <w:rPr>
          <w:rFonts w:asciiTheme="minorHAnsi" w:hAnsiTheme="minorHAnsi" w:cstheme="minorHAnsi"/>
          <w:b/>
          <w:smallCaps/>
          <w:sz w:val="21"/>
          <w:szCs w:val="21"/>
          <w:lang w:val="es-ES"/>
        </w:rPr>
        <w:t xml:space="preserve"> por unanimidad </w:t>
      </w:r>
      <w:r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 xml:space="preserve">la convocatoria y 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 xml:space="preserve">los criterios para la elaboración de la Opinión Técnica </w:t>
      </w:r>
      <w:r w:rsidRPr="00394839">
        <w:rPr>
          <w:rFonts w:asciiTheme="minorHAnsi" w:eastAsia="Times New Roman" w:hAnsiTheme="minorHAnsi" w:cstheme="minorHAnsi"/>
          <w:b/>
          <w:smallCaps/>
          <w:sz w:val="21"/>
          <w:szCs w:val="21"/>
          <w:lang w:val="es-ES_tradnl"/>
        </w:rPr>
        <w:t>para integrar la terna de personas aspirantes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 xml:space="preserve"> </w:t>
      </w:r>
      <w:r w:rsidRPr="00394839">
        <w:rPr>
          <w:rFonts w:asciiTheme="minorHAnsi" w:eastAsia="Times New Roman" w:hAnsiTheme="minorHAnsi" w:cstheme="minorHAnsi"/>
          <w:b/>
          <w:smallCaps/>
          <w:sz w:val="21"/>
          <w:szCs w:val="21"/>
          <w:lang w:val="es-ES_tradnl"/>
        </w:rPr>
        <w:t>a ocupar el cargo de titular de la Secretaría Técnica de la 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>S</w:t>
      </w:r>
      <w:r w:rsidRPr="00394839">
        <w:rPr>
          <w:rFonts w:asciiTheme="minorHAnsi" w:eastAsia="Times New Roman" w:hAnsiTheme="minorHAnsi" w:cstheme="minorHAnsi"/>
          <w:b/>
          <w:smallCaps/>
          <w:sz w:val="21"/>
          <w:szCs w:val="21"/>
          <w:lang w:val="es-ES_tradnl"/>
        </w:rPr>
        <w:t>ecretaría Ejecutiva del Sistema Anticorrupción de Jalisco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>.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 xml:space="preserve"> La Presidenta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 xml:space="preserve"> instruyó al personal que apoya al CPS que una vez que se firmen dichos documentos se publique en la página web oficial </w:t>
      </w:r>
      <w:r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 xml:space="preserve">y redes sociales 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>del Comité pa</w:t>
      </w:r>
      <w:r w:rsidRPr="00394839">
        <w:rPr>
          <w:rFonts w:asciiTheme="minorHAnsi" w:hAnsiTheme="minorHAnsi" w:cstheme="minorHAnsi"/>
          <w:b/>
          <w:smallCaps/>
          <w:sz w:val="21"/>
          <w:szCs w:val="21"/>
          <w:lang w:val="es-ES_tradnl"/>
        </w:rPr>
        <w:t>ra que sean de carácter público y se remitan a los aliados estratégicos para su difusión.</w:t>
      </w:r>
    </w:p>
    <w:p w:rsidR="006D0BA9" w:rsidRPr="00EE4C75" w:rsidRDefault="006D0BA9" w:rsidP="00734681">
      <w:pPr>
        <w:pStyle w:val="1"/>
        <w:spacing w:line="276" w:lineRule="auto"/>
        <w:ind w:firstLine="0"/>
        <w:rPr>
          <w:rFonts w:asciiTheme="minorHAnsi" w:hAnsiTheme="minorHAnsi" w:cstheme="minorHAnsi"/>
          <w:b/>
          <w:smallCaps/>
          <w:sz w:val="21"/>
          <w:szCs w:val="21"/>
        </w:rPr>
      </w:pPr>
      <w:r w:rsidRPr="00EE4C75">
        <w:rPr>
          <w:rFonts w:asciiTheme="minorHAnsi" w:hAnsiTheme="minorHAnsi" w:cstheme="minorHAnsi"/>
          <w:b/>
          <w:smallCaps/>
          <w:sz w:val="21"/>
          <w:szCs w:val="21"/>
        </w:rPr>
        <w:lastRenderedPageBreak/>
        <w:t xml:space="preserve">IX. Acuerdos </w:t>
      </w:r>
    </w:p>
    <w:p w:rsidR="006D0BA9" w:rsidRPr="00EE4C75" w:rsidRDefault="006D0BA9" w:rsidP="00734681">
      <w:pPr>
        <w:pStyle w:val="Encabezado"/>
        <w:tabs>
          <w:tab w:val="clear" w:pos="4320"/>
          <w:tab w:val="center" w:pos="709"/>
        </w:tabs>
        <w:spacing w:line="276" w:lineRule="auto"/>
        <w:ind w:right="-284"/>
        <w:rPr>
          <w:rFonts w:asciiTheme="minorHAnsi" w:eastAsia="Calibri" w:hAnsiTheme="minorHAnsi" w:cstheme="minorHAnsi"/>
          <w:sz w:val="21"/>
          <w:szCs w:val="21"/>
          <w:lang w:val="es-ES_tradnl"/>
        </w:rPr>
      </w:pPr>
    </w:p>
    <w:p w:rsidR="006D0BA9" w:rsidRDefault="006D0BA9" w:rsidP="00734681">
      <w:pPr>
        <w:pStyle w:val="Encabezado"/>
        <w:tabs>
          <w:tab w:val="clear" w:pos="4320"/>
          <w:tab w:val="center" w:pos="709"/>
        </w:tabs>
        <w:spacing w:line="276" w:lineRule="auto"/>
        <w:ind w:right="-284"/>
        <w:rPr>
          <w:rFonts w:asciiTheme="minorHAnsi" w:hAnsiTheme="minorHAnsi" w:cstheme="minorHAnsi"/>
          <w:sz w:val="21"/>
          <w:szCs w:val="21"/>
          <w:lang w:val="es-ES"/>
        </w:rPr>
      </w:pPr>
      <w:r w:rsidRPr="00EE4C75">
        <w:rPr>
          <w:rFonts w:asciiTheme="minorHAnsi" w:hAnsiTheme="minorHAnsi" w:cstheme="minorHAnsi"/>
          <w:sz w:val="21"/>
          <w:szCs w:val="21"/>
          <w:lang w:val="es-ES"/>
        </w:rPr>
        <w:t xml:space="preserve">En </w:t>
      </w:r>
      <w:r w:rsidR="00394839">
        <w:rPr>
          <w:rFonts w:asciiTheme="minorHAnsi" w:hAnsiTheme="minorHAnsi" w:cstheme="minorHAnsi"/>
          <w:sz w:val="21"/>
          <w:szCs w:val="21"/>
          <w:lang w:val="es-ES"/>
        </w:rPr>
        <w:t>este punto del orden del día, la Presidenta</w:t>
      </w:r>
      <w:r w:rsidRPr="00EE4C75">
        <w:rPr>
          <w:rFonts w:asciiTheme="minorHAnsi" w:hAnsiTheme="minorHAnsi" w:cstheme="minorHAnsi"/>
          <w:sz w:val="21"/>
          <w:szCs w:val="21"/>
          <w:lang w:val="es-ES"/>
        </w:rPr>
        <w:t xml:space="preserve"> concedió el uso de la voz a la Secretaria de Acuerdos, Mtra. Diana Vera Álvarez, para que diera cuenta de los acuerdos aprobados en la sesión celebrada el día de hoy.</w:t>
      </w:r>
    </w:p>
    <w:p w:rsidR="00394839" w:rsidRPr="00EE4C75" w:rsidRDefault="00394839" w:rsidP="00734681">
      <w:pPr>
        <w:pStyle w:val="Encabezado"/>
        <w:tabs>
          <w:tab w:val="clear" w:pos="4320"/>
          <w:tab w:val="center" w:pos="709"/>
        </w:tabs>
        <w:spacing w:line="276" w:lineRule="auto"/>
        <w:ind w:right="-284"/>
        <w:rPr>
          <w:rFonts w:asciiTheme="minorHAnsi" w:eastAsia="Calibri" w:hAnsiTheme="minorHAnsi" w:cstheme="minorHAnsi"/>
          <w:sz w:val="21"/>
          <w:szCs w:val="21"/>
          <w:lang w:val="es-ES"/>
        </w:rPr>
      </w:pPr>
    </w:p>
    <w:p w:rsidR="006D0BA9" w:rsidRPr="00EE4C75" w:rsidRDefault="006D0BA9" w:rsidP="00734681">
      <w:pPr>
        <w:pStyle w:val="Encabezado"/>
        <w:tabs>
          <w:tab w:val="clear" w:pos="4320"/>
          <w:tab w:val="center" w:pos="709"/>
        </w:tabs>
        <w:spacing w:line="276" w:lineRule="auto"/>
        <w:ind w:right="-284"/>
        <w:rPr>
          <w:rFonts w:asciiTheme="minorHAnsi" w:hAnsiTheme="minorHAnsi" w:cstheme="minorHAnsi"/>
          <w:sz w:val="21"/>
          <w:szCs w:val="21"/>
          <w:lang w:val="es-ES"/>
        </w:rPr>
      </w:pPr>
      <w:r w:rsidRPr="00EE4C75">
        <w:rPr>
          <w:rFonts w:asciiTheme="minorHAnsi" w:hAnsiTheme="minorHAnsi" w:cstheme="minorHAnsi"/>
          <w:sz w:val="21"/>
          <w:szCs w:val="21"/>
          <w:lang w:val="es-ES"/>
        </w:rPr>
        <w:t>En uso de la voz, la Secretaria de Acuerdos informó de los acuerdos aprobados:</w:t>
      </w:r>
    </w:p>
    <w:p w:rsidR="006D0BA9" w:rsidRPr="00EE4C75" w:rsidRDefault="006D0BA9" w:rsidP="00734681">
      <w:pPr>
        <w:pStyle w:val="Encabezado"/>
        <w:tabs>
          <w:tab w:val="clear" w:pos="4320"/>
          <w:tab w:val="center" w:pos="709"/>
        </w:tabs>
        <w:spacing w:line="276" w:lineRule="auto"/>
        <w:rPr>
          <w:rFonts w:asciiTheme="minorHAnsi" w:hAnsiTheme="minorHAnsi" w:cstheme="minorHAnsi"/>
          <w:sz w:val="21"/>
          <w:szCs w:val="21"/>
          <w:lang w:val="es-ES"/>
        </w:rPr>
      </w:pPr>
    </w:p>
    <w:p w:rsidR="006D0BA9" w:rsidRPr="00EE4C75" w:rsidRDefault="006D0BA9" w:rsidP="00734681">
      <w:pPr>
        <w:pStyle w:val="Encabezado"/>
        <w:tabs>
          <w:tab w:val="clear" w:pos="4320"/>
          <w:tab w:val="center" w:pos="709"/>
        </w:tabs>
        <w:spacing w:line="276" w:lineRule="auto"/>
        <w:ind w:left="284"/>
        <w:rPr>
          <w:rFonts w:asciiTheme="minorHAnsi" w:eastAsia="Calibri" w:hAnsiTheme="minorHAnsi" w:cstheme="minorHAnsi"/>
          <w:bCs/>
          <w:sz w:val="21"/>
          <w:szCs w:val="21"/>
          <w:lang w:val="es-ES"/>
        </w:rPr>
      </w:pPr>
      <w:r w:rsidRPr="00EE4C75">
        <w:rPr>
          <w:rFonts w:asciiTheme="minorHAnsi" w:hAnsiTheme="minorHAnsi" w:cstheme="minorHAnsi"/>
          <w:b/>
          <w:sz w:val="21"/>
          <w:szCs w:val="21"/>
          <w:lang w:val="es-ES"/>
        </w:rPr>
        <w:t xml:space="preserve">Primero. </w:t>
      </w:r>
      <w:r w:rsidRPr="00EE4C75">
        <w:rPr>
          <w:rFonts w:asciiTheme="minorHAnsi" w:eastAsia="Calibri" w:hAnsiTheme="minorHAnsi" w:cstheme="minorHAnsi"/>
          <w:bCs/>
          <w:sz w:val="21"/>
          <w:szCs w:val="21"/>
          <w:lang w:val="es-ES"/>
        </w:rPr>
        <w:t>Se aprobó el orden del día por unanimidad en votación económica.</w:t>
      </w:r>
    </w:p>
    <w:p w:rsidR="006D0BA9" w:rsidRPr="00EE4C75" w:rsidRDefault="006D0BA9" w:rsidP="00734681">
      <w:pPr>
        <w:pStyle w:val="Encabezado"/>
        <w:tabs>
          <w:tab w:val="clear" w:pos="4320"/>
          <w:tab w:val="center" w:pos="709"/>
        </w:tabs>
        <w:spacing w:line="276" w:lineRule="auto"/>
        <w:ind w:left="284" w:right="-284"/>
        <w:rPr>
          <w:rFonts w:asciiTheme="minorHAnsi" w:eastAsia="Calibri" w:hAnsiTheme="minorHAnsi" w:cstheme="minorHAnsi"/>
          <w:bCs/>
          <w:sz w:val="21"/>
          <w:szCs w:val="21"/>
          <w:lang w:val="es-ES"/>
        </w:rPr>
      </w:pPr>
    </w:p>
    <w:p w:rsidR="006D0BA9" w:rsidRPr="00394839" w:rsidRDefault="006D0BA9" w:rsidP="00734681">
      <w:pPr>
        <w:pStyle w:val="Prrafodelista"/>
        <w:tabs>
          <w:tab w:val="center" w:pos="709"/>
        </w:tabs>
        <w:spacing w:line="276" w:lineRule="auto"/>
        <w:ind w:left="284" w:right="-284"/>
        <w:jc w:val="both"/>
        <w:rPr>
          <w:rFonts w:eastAsia="Times" w:cstheme="minorHAnsi"/>
          <w:sz w:val="21"/>
          <w:szCs w:val="21"/>
          <w:lang w:val="es-ES_tradnl"/>
        </w:rPr>
      </w:pPr>
      <w:r w:rsidRPr="00EE4C75">
        <w:rPr>
          <w:rFonts w:eastAsia="Calibri" w:cstheme="minorHAnsi"/>
          <w:b/>
          <w:bCs/>
          <w:sz w:val="21"/>
          <w:szCs w:val="21"/>
          <w:lang w:val="es-ES"/>
        </w:rPr>
        <w:t>Segundo.</w:t>
      </w:r>
      <w:r w:rsidRPr="00EE4C75">
        <w:rPr>
          <w:rFonts w:eastAsia="Calibri" w:cstheme="minorHAnsi"/>
          <w:bCs/>
          <w:sz w:val="21"/>
          <w:szCs w:val="21"/>
          <w:lang w:val="es-ES"/>
        </w:rPr>
        <w:t xml:space="preserve"> P</w:t>
      </w:r>
      <w:r w:rsidRPr="00EE4C75">
        <w:rPr>
          <w:rFonts w:eastAsia="Times" w:cstheme="minorHAnsi"/>
          <w:sz w:val="21"/>
          <w:szCs w:val="21"/>
          <w:lang w:val="es-ES_tradnl"/>
        </w:rPr>
        <w:t xml:space="preserve">or unanimidad, se aprobó, en votación nominal, </w:t>
      </w:r>
      <w:r w:rsidR="00394839">
        <w:rPr>
          <w:rFonts w:eastAsia="Times" w:cstheme="minorHAnsi"/>
          <w:sz w:val="21"/>
          <w:szCs w:val="21"/>
          <w:lang w:val="es-ES_tradnl"/>
        </w:rPr>
        <w:t xml:space="preserve">la convocatoria y </w:t>
      </w:r>
      <w:r w:rsidR="00394839" w:rsidRPr="00394839">
        <w:rPr>
          <w:rFonts w:eastAsia="Times" w:cstheme="minorHAnsi"/>
          <w:sz w:val="21"/>
          <w:szCs w:val="21"/>
          <w:lang w:val="es-ES_tradnl"/>
        </w:rPr>
        <w:t>los criterios para la elaboración de la Opinión Técnica para integrar la terna de personas aspirantes a ocupar el cargo de titular de la Secretaría Técnica de la Secretaría Ejecutiva del S</w:t>
      </w:r>
      <w:r w:rsidR="00394839">
        <w:rPr>
          <w:rFonts w:eastAsia="Times" w:cstheme="minorHAnsi"/>
          <w:sz w:val="21"/>
          <w:szCs w:val="21"/>
          <w:lang w:val="es-ES_tradnl"/>
        </w:rPr>
        <w:t>istema Anticorrupción de Jalisco.</w:t>
      </w:r>
    </w:p>
    <w:p w:rsidR="006D0BA9" w:rsidRPr="00EE4C75" w:rsidRDefault="006D0BA9" w:rsidP="00734681">
      <w:pPr>
        <w:pStyle w:val="1"/>
        <w:spacing w:line="276" w:lineRule="auto"/>
        <w:ind w:firstLine="0"/>
        <w:rPr>
          <w:rFonts w:asciiTheme="minorHAnsi" w:hAnsiTheme="minorHAnsi" w:cstheme="minorHAnsi"/>
          <w:b/>
          <w:smallCaps/>
          <w:sz w:val="21"/>
          <w:szCs w:val="21"/>
        </w:rPr>
      </w:pPr>
      <w:r w:rsidRPr="00EE4C75">
        <w:rPr>
          <w:rFonts w:asciiTheme="minorHAnsi" w:hAnsiTheme="minorHAnsi" w:cstheme="minorHAnsi"/>
          <w:b/>
          <w:smallCaps/>
          <w:sz w:val="21"/>
          <w:szCs w:val="21"/>
        </w:rPr>
        <w:t xml:space="preserve">X. Clausura de la sesión </w:t>
      </w:r>
    </w:p>
    <w:p w:rsidR="006D0BA9" w:rsidRPr="00EE4C75" w:rsidRDefault="006D0BA9" w:rsidP="00734681">
      <w:pPr>
        <w:pStyle w:val="Normal1"/>
        <w:tabs>
          <w:tab w:val="left" w:pos="0"/>
        </w:tabs>
        <w:ind w:right="-284"/>
        <w:jc w:val="both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6D0BA9" w:rsidRPr="00EE4C75" w:rsidRDefault="006D0BA9" w:rsidP="00734681">
      <w:pPr>
        <w:pStyle w:val="Normal1"/>
        <w:tabs>
          <w:tab w:val="left" w:pos="0"/>
        </w:tabs>
        <w:ind w:right="-284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 xml:space="preserve">No habiendo otro punto por desahogar, la Presidenta del CPS concluyó la sesión a las </w:t>
      </w:r>
      <w:r w:rsidR="00734681">
        <w:rPr>
          <w:rFonts w:asciiTheme="minorHAnsi" w:hAnsiTheme="minorHAnsi" w:cstheme="minorHAnsi"/>
          <w:sz w:val="21"/>
          <w:szCs w:val="21"/>
        </w:rPr>
        <w:t>10:52 diez</w:t>
      </w:r>
      <w:r w:rsidRPr="00EE4C75">
        <w:rPr>
          <w:rFonts w:asciiTheme="minorHAnsi" w:hAnsiTheme="minorHAnsi" w:cstheme="minorHAnsi"/>
          <w:sz w:val="21"/>
          <w:szCs w:val="21"/>
        </w:rPr>
        <w:t xml:space="preserve"> horas con </w:t>
      </w:r>
      <w:r w:rsidR="00734681">
        <w:rPr>
          <w:rFonts w:asciiTheme="minorHAnsi" w:hAnsiTheme="minorHAnsi" w:cstheme="minorHAnsi"/>
          <w:sz w:val="21"/>
          <w:szCs w:val="21"/>
        </w:rPr>
        <w:t>cincuenta</w:t>
      </w:r>
      <w:r w:rsidRPr="00EE4C75">
        <w:rPr>
          <w:rFonts w:asciiTheme="minorHAnsi" w:hAnsiTheme="minorHAnsi" w:cstheme="minorHAnsi"/>
          <w:sz w:val="21"/>
          <w:szCs w:val="21"/>
        </w:rPr>
        <w:t xml:space="preserve"> y dos minutos del </w:t>
      </w:r>
      <w:r w:rsidR="00394839">
        <w:rPr>
          <w:rFonts w:asciiTheme="minorHAnsi" w:hAnsiTheme="minorHAnsi" w:cstheme="minorHAnsi"/>
          <w:sz w:val="21"/>
          <w:szCs w:val="21"/>
        </w:rPr>
        <w:t xml:space="preserve">5 cinco de diciembre </w:t>
      </w:r>
      <w:r w:rsidRPr="00EE4C75">
        <w:rPr>
          <w:rFonts w:asciiTheme="minorHAnsi" w:hAnsiTheme="minorHAnsi" w:cstheme="minorHAnsi"/>
          <w:sz w:val="21"/>
          <w:szCs w:val="21"/>
        </w:rPr>
        <w:t xml:space="preserve">de 2022 dos mil veintidós la Primera </w:t>
      </w:r>
      <w:r w:rsidR="00394839">
        <w:rPr>
          <w:rFonts w:asciiTheme="minorHAnsi" w:hAnsiTheme="minorHAnsi" w:cstheme="minorHAnsi"/>
          <w:sz w:val="21"/>
          <w:szCs w:val="21"/>
        </w:rPr>
        <w:t>Sesión Extraor</w:t>
      </w:r>
      <w:r w:rsidRPr="00EE4C75">
        <w:rPr>
          <w:rFonts w:asciiTheme="minorHAnsi" w:hAnsiTheme="minorHAnsi" w:cstheme="minorHAnsi"/>
          <w:sz w:val="21"/>
          <w:szCs w:val="21"/>
        </w:rPr>
        <w:t>dinaria del CPS levantándose para constancia la presente acta.</w:t>
      </w:r>
    </w:p>
    <w:p w:rsidR="006D0BA9" w:rsidRPr="00EE4C75" w:rsidRDefault="006D0BA9" w:rsidP="00734681">
      <w:pPr>
        <w:pStyle w:val="Normal1"/>
        <w:ind w:left="709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</w:p>
    <w:p w:rsidR="006D0BA9" w:rsidRPr="00EE4C75" w:rsidRDefault="006D0BA9" w:rsidP="00734681">
      <w:pPr>
        <w:pStyle w:val="Normal1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</w:p>
    <w:p w:rsidR="006D0BA9" w:rsidRPr="00EE4C75" w:rsidRDefault="006D0BA9" w:rsidP="00734681">
      <w:pPr>
        <w:pStyle w:val="Normal1"/>
        <w:jc w:val="both"/>
        <w:rPr>
          <w:rFonts w:asciiTheme="minorHAnsi" w:eastAsia="Calibri" w:hAnsiTheme="minorHAnsi" w:cstheme="minorHAnsi"/>
          <w:b/>
          <w:sz w:val="21"/>
          <w:szCs w:val="21"/>
        </w:rPr>
      </w:pPr>
    </w:p>
    <w:p w:rsidR="006D0BA9" w:rsidRPr="00EE4C75" w:rsidRDefault="006D0BA9" w:rsidP="00734681">
      <w:pPr>
        <w:pStyle w:val="Normal1"/>
        <w:rPr>
          <w:rFonts w:asciiTheme="minorHAnsi" w:eastAsia="Calibri" w:hAnsiTheme="minorHAnsi" w:cstheme="minorHAnsi"/>
          <w:sz w:val="21"/>
          <w:szCs w:val="21"/>
        </w:rPr>
      </w:pPr>
    </w:p>
    <w:p w:rsidR="006D0BA9" w:rsidRPr="00EE4C75" w:rsidRDefault="006D0BA9" w:rsidP="00734681">
      <w:pPr>
        <w:ind w:right="-15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EE4C75">
        <w:rPr>
          <w:rFonts w:asciiTheme="minorHAnsi" w:hAnsiTheme="minorHAnsi" w:cstheme="minorHAnsi"/>
          <w:b/>
          <w:sz w:val="21"/>
          <w:szCs w:val="21"/>
        </w:rPr>
        <w:t xml:space="preserve">Nancy </w:t>
      </w:r>
      <w:r w:rsidRPr="00EE4C75">
        <w:rPr>
          <w:rFonts w:asciiTheme="minorHAnsi" w:hAnsiTheme="minorHAnsi" w:cstheme="minorHAnsi"/>
          <w:b/>
          <w:sz w:val="21"/>
          <w:szCs w:val="21"/>
          <w:lang w:val="es-ES_tradnl"/>
        </w:rPr>
        <w:t>García Vázquez</w:t>
      </w:r>
    </w:p>
    <w:p w:rsidR="006D0BA9" w:rsidRPr="00EE4C75" w:rsidRDefault="006D0BA9" w:rsidP="00734681">
      <w:pPr>
        <w:pStyle w:val="Normal1"/>
        <w:ind w:right="-15"/>
        <w:jc w:val="center"/>
        <w:rPr>
          <w:rFonts w:asciiTheme="minorHAnsi" w:hAnsiTheme="minorHAnsi" w:cstheme="minorHAnsi"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>Presidenta</w:t>
      </w:r>
    </w:p>
    <w:p w:rsidR="006D0BA9" w:rsidRPr="00EE4C75" w:rsidRDefault="006D0BA9" w:rsidP="00734681">
      <w:pPr>
        <w:pStyle w:val="Normal1"/>
        <w:ind w:right="-15"/>
        <w:jc w:val="center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Normal1"/>
        <w:ind w:right="-15"/>
        <w:rPr>
          <w:rFonts w:asciiTheme="minorHAnsi" w:hAnsiTheme="minorHAnsi" w:cstheme="minorHAnsi"/>
          <w:sz w:val="21"/>
          <w:szCs w:val="21"/>
        </w:rPr>
      </w:pPr>
    </w:p>
    <w:p w:rsidR="006D0BA9" w:rsidRDefault="006D0BA9" w:rsidP="00734681">
      <w:pPr>
        <w:pStyle w:val="Normal1"/>
        <w:ind w:right="-15"/>
        <w:rPr>
          <w:rFonts w:asciiTheme="minorHAnsi" w:hAnsiTheme="minorHAnsi" w:cstheme="minorHAnsi"/>
          <w:sz w:val="21"/>
          <w:szCs w:val="21"/>
        </w:rPr>
      </w:pPr>
    </w:p>
    <w:p w:rsidR="00734681" w:rsidRPr="00EE4C75" w:rsidRDefault="00734681" w:rsidP="00734681">
      <w:pPr>
        <w:pStyle w:val="Normal1"/>
        <w:ind w:right="-15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Normal1"/>
        <w:ind w:right="-15"/>
        <w:jc w:val="center"/>
        <w:rPr>
          <w:rFonts w:asciiTheme="minorHAnsi" w:hAnsiTheme="minorHAnsi" w:cstheme="minorHAnsi"/>
          <w:sz w:val="21"/>
          <w:szCs w:val="21"/>
        </w:rPr>
      </w:pPr>
    </w:p>
    <w:p w:rsidR="006D0BA9" w:rsidRPr="00EE4C75" w:rsidRDefault="006D0BA9" w:rsidP="00734681">
      <w:pPr>
        <w:pStyle w:val="Normal1"/>
        <w:ind w:right="-15"/>
        <w:jc w:val="center"/>
        <w:rPr>
          <w:rFonts w:asciiTheme="minorHAnsi" w:hAnsiTheme="minorHAnsi" w:cstheme="minorHAnsi"/>
          <w:sz w:val="21"/>
          <w:szCs w:val="21"/>
        </w:rPr>
      </w:pPr>
      <w:r w:rsidRPr="00EE4C75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6D0BA9" w:rsidRPr="00EE4C75" w:rsidTr="00DB2321">
        <w:tc>
          <w:tcPr>
            <w:tcW w:w="4334" w:type="dxa"/>
          </w:tcPr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b/>
                <w:sz w:val="21"/>
                <w:szCs w:val="21"/>
              </w:rPr>
              <w:t>David Gómez-Álvarez</w:t>
            </w:r>
          </w:p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</w:rPr>
              <w:t>Integrante</w:t>
            </w:r>
          </w:p>
          <w:p w:rsidR="006D0BA9" w:rsidRPr="00EE4C75" w:rsidRDefault="006D0BA9" w:rsidP="00734681">
            <w:pPr>
              <w:pStyle w:val="Normal1"/>
              <w:ind w:right="-1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35" w:type="dxa"/>
          </w:tcPr>
          <w:p w:rsidR="006D0BA9" w:rsidRPr="00EE4C75" w:rsidRDefault="006D0BA9" w:rsidP="00734681">
            <w:pPr>
              <w:ind w:right="-15"/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</w:pPr>
            <w:r w:rsidRPr="00EE4C75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 xml:space="preserve">Pedro Vicente Viveros Reyes  </w:t>
            </w:r>
          </w:p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</w:rPr>
              <w:t>Integrante</w:t>
            </w:r>
          </w:p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0BA9" w:rsidRPr="00EE4C75" w:rsidRDefault="006D0BA9" w:rsidP="00734681">
            <w:pPr>
              <w:pStyle w:val="Normal1"/>
              <w:ind w:right="-15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6D0BA9" w:rsidRPr="00EE4C75" w:rsidRDefault="006D0BA9" w:rsidP="00734681">
            <w:pPr>
              <w:pStyle w:val="Normal1"/>
              <w:ind w:right="-1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0BA9" w:rsidRPr="00EE4C75" w:rsidTr="00DB2321">
        <w:tc>
          <w:tcPr>
            <w:tcW w:w="4334" w:type="dxa"/>
          </w:tcPr>
          <w:p w:rsidR="006D0BA9" w:rsidRPr="00EE4C75" w:rsidRDefault="006D0BA9" w:rsidP="00734681">
            <w:pPr>
              <w:pStyle w:val="Normal1"/>
              <w:ind w:right="-15"/>
              <w:jc w:val="center"/>
              <w:rPr>
                <w:rFonts w:asciiTheme="minorHAnsi" w:hAnsiTheme="minorHAnsi" w:cstheme="minorHAnsi"/>
                <w:sz w:val="21"/>
                <w:szCs w:val="21"/>
                <w:lang w:val="pt-BR"/>
              </w:rPr>
            </w:pPr>
            <w:r w:rsidRPr="00EE4C75">
              <w:rPr>
                <w:rFonts w:asciiTheme="minorHAnsi" w:hAnsiTheme="minorHAnsi" w:cstheme="minorHAnsi"/>
                <w:b/>
                <w:sz w:val="21"/>
                <w:szCs w:val="21"/>
              </w:rPr>
              <w:t>Neyra Josefa Godoy Rodríguez</w:t>
            </w:r>
            <w:r w:rsidRPr="00EE4C7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</w:t>
            </w:r>
          </w:p>
          <w:p w:rsidR="006D0BA9" w:rsidRPr="00EE4C75" w:rsidRDefault="006D0BA9" w:rsidP="00734681">
            <w:pPr>
              <w:pStyle w:val="Normal1"/>
              <w:ind w:right="-15"/>
              <w:rPr>
                <w:rFonts w:asciiTheme="minorHAnsi" w:eastAsia="Calibri" w:hAnsiTheme="minorHAnsi" w:cstheme="minorHAnsi"/>
                <w:sz w:val="21"/>
                <w:szCs w:val="21"/>
                <w:lang w:val="pt-BR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                           Integrante</w:t>
            </w:r>
          </w:p>
        </w:tc>
        <w:tc>
          <w:tcPr>
            <w:tcW w:w="4335" w:type="dxa"/>
          </w:tcPr>
          <w:p w:rsidR="006D0BA9" w:rsidRPr="00EE4C75" w:rsidRDefault="006D0BA9" w:rsidP="0073468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            </w:t>
            </w:r>
            <w:r w:rsidRPr="00EE4C75">
              <w:rPr>
                <w:rFonts w:asciiTheme="minorHAnsi" w:hAnsiTheme="minorHAnsi" w:cstheme="minorHAnsi"/>
                <w:b/>
                <w:sz w:val="21"/>
                <w:szCs w:val="21"/>
              </w:rPr>
              <w:t>Miguel Ángel Hernández Velázquez</w:t>
            </w:r>
          </w:p>
          <w:p w:rsidR="006D0BA9" w:rsidRPr="00EE4C75" w:rsidRDefault="006D0BA9" w:rsidP="00734681">
            <w:pPr>
              <w:pStyle w:val="Normal1"/>
              <w:ind w:right="-15"/>
              <w:rPr>
                <w:rFonts w:asciiTheme="minorHAnsi" w:hAnsiTheme="minorHAnsi" w:cstheme="minorHAnsi"/>
                <w:sz w:val="21"/>
                <w:szCs w:val="21"/>
              </w:rPr>
            </w:pPr>
            <w:r w:rsidRPr="00EE4C75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Integrante</w:t>
            </w:r>
          </w:p>
        </w:tc>
      </w:tr>
    </w:tbl>
    <w:p w:rsidR="00FC1B74" w:rsidRPr="00EE4C75" w:rsidRDefault="00FC1B74" w:rsidP="00734681">
      <w:pPr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FC1B74" w:rsidRPr="00EE4C75" w:rsidSect="00267A57">
      <w:headerReference w:type="default" r:id="rId8"/>
      <w:footerReference w:type="default" r:id="rId9"/>
      <w:pgSz w:w="12240" w:h="15840" w:code="1"/>
      <w:pgMar w:top="1701" w:right="1750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D1" w:rsidRDefault="00B72AD1" w:rsidP="00EE4C75">
      <w:pPr>
        <w:spacing w:line="240" w:lineRule="auto"/>
      </w:pPr>
      <w:r>
        <w:separator/>
      </w:r>
    </w:p>
  </w:endnote>
  <w:endnote w:type="continuationSeparator" w:id="0">
    <w:p w:rsidR="00B72AD1" w:rsidRDefault="00B72AD1" w:rsidP="00EE4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168362908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EndPr/>
        <w:sdtContent>
          <w:p w:rsidR="00B23B5B" w:rsidRPr="00840FCB" w:rsidRDefault="00B72AD1" w:rsidP="00267A57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3468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3468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sdt>
    <w:sdtPr>
      <w:rPr>
        <w:rFonts w:ascii="Arial Narrow" w:hAnsi="Arial Narrow"/>
        <w:sz w:val="18"/>
        <w:szCs w:val="18"/>
        <w:lang w:val="es-ES"/>
      </w:rPr>
      <w:id w:val="-1434888227"/>
      <w:docPartObj>
        <w:docPartGallery w:val="Page Numbers (Top of Page)"/>
        <w:docPartUnique/>
      </w:docPartObj>
    </w:sdtPr>
    <w:sdtEndPr/>
    <w:sdtContent>
      <w:p w:rsidR="00B23B5B" w:rsidRDefault="00B72AD1" w:rsidP="00267A57">
        <w:pPr>
          <w:jc w:val="center"/>
        </w:pPr>
      </w:p>
      <w:p w:rsidR="00B23B5B" w:rsidRPr="00B053A9" w:rsidRDefault="00B72AD1" w:rsidP="00267A57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</w:p>
    </w:sdtContent>
  </w:sdt>
  <w:p w:rsidR="00B23B5B" w:rsidRDefault="00B72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D1" w:rsidRDefault="00B72AD1" w:rsidP="00EE4C75">
      <w:pPr>
        <w:spacing w:line="240" w:lineRule="auto"/>
      </w:pPr>
      <w:r>
        <w:separator/>
      </w:r>
    </w:p>
  </w:footnote>
  <w:footnote w:type="continuationSeparator" w:id="0">
    <w:p w:rsidR="00B72AD1" w:rsidRDefault="00B72AD1" w:rsidP="00EE4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B5B" w:rsidRDefault="00B72AD1" w:rsidP="00267A57">
    <w:pPr>
      <w:pStyle w:val="Normal1"/>
      <w:tabs>
        <w:tab w:val="left" w:pos="6120"/>
      </w:tabs>
      <w:ind w:left="-142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47EAFDF8" wp14:editId="1D1DE60B">
          <wp:extent cx="4222065" cy="6000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:rsidR="00B23B5B" w:rsidRPr="00516E05" w:rsidRDefault="00B72AD1" w:rsidP="00267A57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9264" behindDoc="0" locked="0" layoutInCell="1" allowOverlap="1" wp14:anchorId="1F0EEA65" wp14:editId="1A42F996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eastAsia="Calibri" w:hAnsiTheme="minorHAnsi" w:cstheme="minorHAnsi"/>
        <w:b/>
        <w:bCs/>
        <w:sz w:val="16"/>
        <w:szCs w:val="16"/>
      </w:rPr>
      <w:t xml:space="preserve">          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Acta 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(2022-2023)</w:t>
    </w:r>
  </w:p>
  <w:p w:rsidR="00B23B5B" w:rsidRPr="001E65CE" w:rsidRDefault="00B72AD1" w:rsidP="00267A57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F5"/>
    <w:multiLevelType w:val="hybridMultilevel"/>
    <w:tmpl w:val="01961B22"/>
    <w:lvl w:ilvl="0" w:tplc="4578943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B4E6F3F"/>
    <w:multiLevelType w:val="hybridMultilevel"/>
    <w:tmpl w:val="7BE2FF6C"/>
    <w:lvl w:ilvl="0" w:tplc="1AE668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5720"/>
    <w:multiLevelType w:val="hybridMultilevel"/>
    <w:tmpl w:val="6CB62252"/>
    <w:lvl w:ilvl="0" w:tplc="065C53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9"/>
    <w:rsid w:val="00394839"/>
    <w:rsid w:val="006D0BA9"/>
    <w:rsid w:val="00734681"/>
    <w:rsid w:val="008154B2"/>
    <w:rsid w:val="00925075"/>
    <w:rsid w:val="0099696A"/>
    <w:rsid w:val="00B72AD1"/>
    <w:rsid w:val="00EE4C75"/>
    <w:rsid w:val="00F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CD1E"/>
  <w15:chartTrackingRefBased/>
  <w15:docId w15:val="{590B2FE5-D9D0-4666-9584-7D6F3F98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A9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6">
    <w:name w:val="heading 6"/>
    <w:basedOn w:val="Normal"/>
    <w:next w:val="Normal"/>
    <w:link w:val="Ttulo6Car"/>
    <w:qFormat/>
    <w:rsid w:val="006D0BA9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D0BA9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6D0BA9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6D0BA9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D0BA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BA9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6D0BA9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0BA9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6D0BA9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6D0BA9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6D0BA9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6D0BA9"/>
    <w:rPr>
      <w:i/>
      <w:iCs/>
    </w:rPr>
  </w:style>
  <w:style w:type="paragraph" w:customStyle="1" w:styleId="paragraph">
    <w:name w:val="paragraph"/>
    <w:basedOn w:val="Normal"/>
    <w:rsid w:val="006D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D0BA9"/>
  </w:style>
  <w:style w:type="character" w:customStyle="1" w:styleId="eop">
    <w:name w:val="eop"/>
    <w:basedOn w:val="Fuentedeprrafopredeter"/>
    <w:rsid w:val="006D0BA9"/>
  </w:style>
  <w:style w:type="paragraph" w:styleId="Prrafodelista">
    <w:name w:val="List Paragraph"/>
    <w:basedOn w:val="Normal"/>
    <w:uiPriority w:val="34"/>
    <w:qFormat/>
    <w:rsid w:val="006D0B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6D0BA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4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s.seaj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1099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lastModifiedBy>Diana Vera Alvarez</cp:lastModifiedBy>
  <cp:revision>1</cp:revision>
  <dcterms:created xsi:type="dcterms:W3CDTF">2022-12-13T05:14:00Z</dcterms:created>
  <dcterms:modified xsi:type="dcterms:W3CDTF">2022-12-13T06:28:00Z</dcterms:modified>
</cp:coreProperties>
</file>